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Półprzewodnikowe przyrządy optoelektroniczne</w:t>
      </w:r>
    </w:p>
    <w:p>
      <w:pPr>
        <w:keepNext w:val="1"/>
        <w:spacing w:after="10"/>
      </w:pPr>
      <w:r>
        <w:rPr>
          <w:b/>
          <w:bCs/>
        </w:rPr>
        <w:t xml:space="preserve">Koordynator przedmiotu: </w:t>
      </w:r>
    </w:p>
    <w:p>
      <w:pPr>
        <w:spacing w:before="20" w:after="190"/>
      </w:pPr>
      <w:r>
        <w:rPr/>
        <w:t xml:space="preserve">prof. dr hab. Maciej Bugajski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Technologia i charakteryzacja układów niskowymiarowych, Nanostruktury.
Znajomość podstaw mechaniki kwantowej i elektrodynamiki klasycznej.
Znajomość fizyki ciała stałego, ze szczególnym uwzględnieniem fizyki półprzewodników.
Znajomość rachunku różniczkowego i całkowego oraz analizy wektorowej.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słuchaczy z podstawami fizycznymi działania nowoczesnych przyrządów optoelektronicznych. Wykład dostarczy słuchaczom wiedzy niezbędnej dla projektowania i optymalizacji przyrządów optoelektronicznych.  </w:t>
      </w:r>
    </w:p>
    <w:p>
      <w:pPr>
        <w:keepNext w:val="1"/>
        <w:spacing w:after="10"/>
      </w:pPr>
      <w:r>
        <w:rPr>
          <w:b/>
          <w:bCs/>
        </w:rPr>
        <w:t xml:space="preserve">Treści kształcenia: </w:t>
      </w:r>
    </w:p>
    <w:p>
      <w:pPr>
        <w:spacing w:before="20" w:after="190"/>
      </w:pPr>
      <w:r>
        <w:rPr/>
        <w:t xml:space="preserve">Przedmiotem wykładu będą półprzewodnikowe przyrządy optoelektroniczne Omówione zostaną podstawowe zjawiska fizyczne, które leżą u podstaw generacji, detekcji i modulacji światła w półprzewodnikach. Szczególny nacisk położony będzie na przyrządy optoelektroniczne nowej generacji wykorzystujące półprzewodnikowe struktury o obniżonej wymiarowości; lasery na studniach kwantowych, kwantowe lasery kaskadowe, nowoczesne detektory i modulatory światła. Wykład kończyć będzie przegląd funkcjonalnych systemów optoelektronicznych. Omówione zostaną światłowodowe systemy telekomunikacyjne, optoelektroniczne systemy śledzenia i monitorowania i obrazowania. 
Program:
Część I . Podstawy fizyczne
1. Podstawy elektroniki półprzewodnikowej
2. Struktura pasmowa i zjawiska optyczne
3. Podstawy teorii elektromagnetycznej
Część  II.  Półprzewodnikowe przyrządy optoelektroniczne
1. Generacja, propagacja i detekcja światła 
2. Kwantowe efekty rozmiarowe w strukturach niskowymiarowych
3. Lasery na studniach kwantowych.
4. Lasery o emisji powierzchniowej (VCSEL)
5. Lasery unipolarne (kaskadowe)
6. Modulatory elektroabsorpcyjne
7. Detektory podczerwieni na studniach kwantowych
8. Lasery z kryształami fotonicznymi.
Część  III.  Systemy optoelektroniczne i zastosowania
1. Układy funkcjonalne złożone z elementów optoelektronicznych
2. Systemy telekomunikacji (WDM, DWDM)
3. Zastosowania w przemyśle, ochronie środowiska i medycynie</w:t>
      </w:r>
    </w:p>
    <w:p>
      <w:pPr>
        <w:keepNext w:val="1"/>
        <w:spacing w:after="10"/>
      </w:pPr>
      <w:r>
        <w:rPr>
          <w:b/>
          <w:bCs/>
        </w:rPr>
        <w:t xml:space="preserve">Metody oceny: </w:t>
      </w:r>
    </w:p>
    <w:p>
      <w:pPr>
        <w:spacing w:before="20" w:after="190"/>
      </w:pPr>
      <w:r>
        <w:rPr/>
        <w:t xml:space="preserve">Podstawą zaliczenia przedmiotu będą prace domowe (5 w semestrze) i egzamin końcowy w formie testu. Prace domowe będą miały charakter zadań rachunkowych.
Wagi poszczególnych składowych: prace domowe: 0.6, egzamin końcowy: 0.4.
Wymagania na ocenę końcową: dostateczny – 50 % możliwych do zdobycia punktów, dobry – 65 % , bardzo dobry – 80 %.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 Mroziewicz, M. Bugajski, W. Nakwaski, Physics of semiconductor lasers, North Holland 1991
2. M. Bugajski, Low dimensional semiconductor structures, Tempus Series in Applied Physics, Oficyna Wydawnicza Politechniki Warszawskiej, 1997
3. S. L. Chuang, Physics of optoelectronics devices, Willey, 1995
4. B. Ziętek, Optoelektronika, Wydawnictwo UMK Toruń, 2005
5. K. Perlicki, Systemy transmisji optycznej WDM, WKŁ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2024-05-19T16:01:34+02:00</dcterms:created>
  <dcterms:modified xsi:type="dcterms:W3CDTF">2024-05-19T16:01:34+02:00</dcterms:modified>
</cp:coreProperties>
</file>

<file path=docProps/custom.xml><?xml version="1.0" encoding="utf-8"?>
<Properties xmlns="http://schemas.openxmlformats.org/officeDocument/2006/custom-properties" xmlns:vt="http://schemas.openxmlformats.org/officeDocument/2006/docPropsVTypes"/>
</file>