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Paweł Neumann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rozumienia zasad funkcjonowania systemu finansowego w gospodarce, strumieni i zasobów finansowych w gospodarstwie, budżetu oraz na tym tle struktury systemu bankowego, rynków finansowych i funkcjonowania rynku giełdy papierów wartościowych.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Budżet państwa – dochody, wydatki, polityka podatkowa. [1W ]
Struktura systemu bankowego: bank centralny i banki komercyjne. [1W  ]
Rynki finansowe: w tym funkcjonowanie rynku (giełdy) papierów wartościowych [2W]
Źródła kapitału w przedsiębiorstwie: podział zysku, emitowane papiery wartościowe, rynek pierwotny i wtórny. [2W]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[2W]
Strategie finansowania majątku: kapitał obrotowy netto, cykl operacyjny i konwersji gotówki, zarządzanie środkami pieniężnymi, zarządzanie należnościami, krótkoterminowe źródła finansowania przedsiębiorstwa. [2W]
Struktura kapitału a wartość firmy: teorie struktury kapitału, korzyści podatkowe a ryzyko i koszty bankructwa, teoria hierarchii źródeł finansowania. [1W]
Decyzje inwestycyjne: szacowanie przyszłych operacyjnych przepływów pieniężnych, zaktualizowana wartość netto, wewnętrzna stopa zwrotu. [1W]
Ryzyko w działalności przedsiębiorstwa: ryzyko operacyjne i finansowe, ryzyko walutowe w transakcjach zagranicznych. [1W ]
Ćwiczenia:
Rynki finansowe: w tym funkcjonowanie rynku (giełdy) papierów wartościowych [ 2Ć]
Źródła kapitału w przedsiębiorstwie: podział zysku, emitowane papiery wartościowe, rynek pierwotny i wtórny. [2Ć]
Ryzyko w decyzjach finansowych a uzyskiwane dochody: wartość pieniądza w czasie, stopa zwrotu oczekiwana przez inwestorów a koszt kapitału w przedsiębiorstwie, koszt kapitału obcego i własnego, model wyceny aktywów kapitałowych, współczynnik beta, średni ważony koszt kapitału. [14Ć]
Strategie finansowania majątku: kapitał obrotowy netto, cykl operacyjny i konwersji gotówki, zarządzanie środkami pieniężnymi, zarządzanie należnościami, krótkoterminowe źródła finansowania przedsiębiorstwa. [ 4Ć]
Struktura kapitału a wartość firmy: teorie struktury kapitału, korzyści podatkowe a ryzyko i koszty bankructwa, teoria hierarchii źródeł finansowania. [2Ć]
Decyzje inwestycyjne: szacowanie przyszłych operacyjnych przepływów pieniężnych, zaktualizowana wartość netto, wewnętrzna stopa zwrotu. [4Ć]
Ryzyko w działalności przedsiębiorstwa: ryzyko operacyjne i finansowe, ryzyko walutowe w transakcjach zagranicznych. [2Ć]
</w:t>
      </w:r>
    </w:p>
    <w:p>
      <w:pPr>
        <w:keepNext w:val="1"/>
        <w:spacing w:after="10"/>
      </w:pPr>
      <w:r>
        <w:rPr>
          <w:b/>
          <w:bCs/>
        </w:rPr>
        <w:t xml:space="preserve">Metody oceny: </w:t>
      </w:r>
    </w:p>
    <w:p>
      <w:pPr>
        <w:spacing w:before="20" w:after="190"/>
      </w:pPr>
      <w:r>
        <w:rPr/>
        <w:t xml:space="preserve">Warunkiem zaliczenia przedmiotu jest przystąpienie do Egzaminu, prowadzonego przez Wykładowcę.
1. Forma i przebieg egzaminu:
- Forma egzaminu: pisemna, pytania opisowe, otwarte, dopuszczalne pomoce (formę i zakres dopuszczalnych pomocy ustala wykładowca)
- Egzamin odbywa się w czasie sesji egzaminacyjnej, czas trwania egzaminu około 60 minut – 70 minut, (możliwy termin 0),
2. Czynniki decydujące o zaliczeniu przedmiotu i wpływające na ocenę końcową (jednocześnie wszystkie wymienione czynniki):
- uczestnictwo w zajęciach (wykładach)
- aktywność na zajęciach (w tym rozwiązywanie i dyskusja nad wybranymi case study)
3. Zasady oceniania
0,00% - 54,9%	ndst
55,0% - 64,9%	dst
65,0% - 74,9%	dst+
75,0% - 84,9%	db
85,0% - 92,4%	db+
92,5% - 100,0%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3. red. Prof. dr hab. Edmunda Pietrzaka, mgr Magdaleny Markiewicz, Finanse, bankowość i rynki finansowe, Wydawnictwo Uniwersytetu Gdańskiego, Gdańsk 2006, r.
4. Władysław Jaworski, Zofia Zawadzka (red.), Bankowość, Poltext, Warszawa 2001
5. W. Bień, Zarządzanie finansami przedsiębiorstw, Difin Warszawa 2002
6. E. Brigham, Podstawy zarządzania finansami, PWE
7. E. Brigham, L. Gapenski, Zarządzanie finansami, PWE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2026-08-20T06:47:51+02:00</dcterms:created>
  <dcterms:modified xsi:type="dcterms:W3CDTF">2026-08-20T06:47:51+02:00</dcterms:modified>
</cp:coreProperties>
</file>

<file path=docProps/custom.xml><?xml version="1.0" encoding="utf-8"?>
<Properties xmlns="http://schemas.openxmlformats.org/officeDocument/2006/custom-properties" xmlns:vt="http://schemas.openxmlformats.org/officeDocument/2006/docPropsVTypes"/>
</file>