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Stanisław Osowski, sto@iem.pw.edu.pl, tel +48222347235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projektowania sztucznych sieci neuronowych i ih praktycznego zastosowania w rozwiązywaniu różnorodnych zagadnień technicznych.</w:t>
      </w:r>
    </w:p>
    <w:p>
      <w:pPr>
        <w:keepNext w:val="1"/>
        <w:spacing w:after="10"/>
      </w:pPr>
      <w:r>
        <w:rPr>
          <w:b/>
          <w:bCs/>
        </w:rPr>
        <w:t xml:space="preserve">Treści kształcenia: </w:t>
      </w:r>
    </w:p>
    <w:p>
      <w:pPr>
        <w:spacing w:before="20" w:after="190"/>
      </w:pPr>
      <w:r>
        <w:rPr/>
        <w:t xml:space="preserve">Pojęcia wstępne sieci neuronowych, Modele neuronów i metody ich uczenia, sieci neuronowe sigmoidalne jednowarstwowe i wielowarstwowe (MLP), algorytmy uczenia sieci MLP, algorytm propagacji wstecznej,  zdolność generalizacji sieci neuronowych, metody projektowania optymalnej architektury sieci neuronowej,  przykłady zastosowania sieci MLP, sieci radialne RBF, algorytmu uczenia, zastosowania sieci RBF, Sieci SVM do klasyfikacji i regresji, metody uczenia sieci SVM, przykłady zastosowań sieci.  pamięci asocjacyjne Hopfielda, Hamminga, BAM – algorytmy uczące, Sieci samoorganizujace bazujące na współzawodnictwie neuronów, sieci Kohonena, algorytmy uczenia sieci ze współzawodnictwem,  sieci samoorganizujace typu korelacyjnego: sieci PCA i BSS, algorytmy uczące i zastosowania, wstęp do sieci neuronowych rozmytych.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Osowski, Sieci neuronowe do przetwarzania informacji, OWPW,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2026-07-27T09:35:52+02:00</dcterms:created>
  <dcterms:modified xsi:type="dcterms:W3CDTF">2026-07-27T09:35:52+02:00</dcterms:modified>
</cp:coreProperties>
</file>

<file path=docProps/custom.xml><?xml version="1.0" encoding="utf-8"?>
<Properties xmlns="http://schemas.openxmlformats.org/officeDocument/2006/custom-properties" xmlns:vt="http://schemas.openxmlformats.org/officeDocument/2006/docPropsVTypes"/>
</file>