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IICK11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 </w:t>
      </w:r>
    </w:p>
    <w:p>
      <w:pPr>
        <w:keepNext w:val="1"/>
        <w:spacing w:after="10"/>
      </w:pPr>
      <w:r>
        <w:rPr>
          <w:b/>
          <w:bCs/>
        </w:rPr>
        <w:t xml:space="preserve">Metody oceny: </w:t>
      </w:r>
    </w:p>
    <w:p>
      <w:pPr>
        <w:spacing w:before="20" w:after="190"/>
      </w:pPr>
      <w:r>
        <w:rPr/>
        <w:t xml:space="preserve">Warunkiem zaliczenia przedmiotu jest uzyskanie pozytywnych ocen z:  kolokwium z wiedzy teoretycznej, opracowania teoretycznego.Końcowa ocena z przedmiotu wyliczona zostanie przyjmując następującą proporcje:50% oceny z kolokwium z części wykładowej + 50% oceny za opracowanie teoretyczne.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2026-06-15T17:45:57+02:00</dcterms:created>
  <dcterms:modified xsi:type="dcterms:W3CDTF">2026-06-15T17:45:57+02:00</dcterms:modified>
</cp:coreProperties>
</file>

<file path=docProps/custom.xml><?xml version="1.0" encoding="utf-8"?>
<Properties xmlns="http://schemas.openxmlformats.org/officeDocument/2006/custom-properties" xmlns:vt="http://schemas.openxmlformats.org/officeDocument/2006/docPropsVTypes"/>
</file>