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Aeronautical Regulations</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ANS613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Aircraft Design, Aircraft Maintenance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regarding certification, rules of maintenance management as well as continued airworthiness of aircraft according to ICAO and EASA standards and regulations. Preparing of students as quality and continuing airworthiness managers</w:t>
      </w:r>
    </w:p>
    <w:p>
      <w:pPr>
        <w:keepNext w:val="1"/>
        <w:spacing w:after="10"/>
      </w:pPr>
      <w:r>
        <w:rPr>
          <w:b/>
          <w:bCs/>
        </w:rPr>
        <w:t xml:space="preserve">Treści kształcenia: </w:t>
      </w:r>
    </w:p>
    <w:p>
      <w:pPr>
        <w:spacing w:before="20" w:after="190"/>
      </w:pPr>
      <w:r>
        <w:rPr/>
        <w:t xml:space="preserve">Regulatory Framework: role of International Civil Aviation Organisation, role of EASA, role of the Member States; relationship between Part-145, Part-66, Part-147 and Part-M; relationship with other Aviation Authorities. Part-66 — Certifying Staff — Maintenance: Detailed understanding of Part-66. Part-145 — Approved Maintenance Organizations: Detailed understanding of Part-145. JAR-OPS — Commercial Air Transportation: Air Operators Certificates, operators responsibilities, documents to be carried, aircraft placarding (markings); Aircraft Certification; General: certification rules: such as EACS 23/25/27/29, type certification; supplemental type certification, Part-21 Design/Production Organization Approvals. Documents: Certificate of Airworthiness, Certificate of Registration, Noise Certificate, Weight Schedule, Radio Station License and Approval. Part-M detailed understanding of Part-M; Applicable National and International Requirements for (if not superseded by EU requirements Maintenance Programs, Maintenance checks and inspections, Master Minimum Equipment Lists, Minimum Equipment List, Dispatch Deviation Lists, Airworthiness Directives, Service Bulletins, manufacturers service information; Modifications and repairs; Maintenance documentation: maintenance manuals, structural repair manual, illustrated parts catalogue, etc.; Continuing airworthiness: test flights, ETOPS, maintenance and dispatch requirements, All Weather Operations, Category 2/3 operations and minimum equipment requirements.</w:t>
      </w:r>
    </w:p>
    <w:p>
      <w:pPr>
        <w:keepNext w:val="1"/>
        <w:spacing w:after="10"/>
      </w:pPr>
      <w:r>
        <w:rPr>
          <w:b/>
          <w:bCs/>
        </w:rPr>
        <w:t xml:space="preserve">Metody oceny: </w:t>
      </w:r>
    </w:p>
    <w:p>
      <w:pPr>
        <w:spacing w:before="20" w:after="190"/>
      </w:pPr>
      <w:r>
        <w:rPr/>
        <w:t xml:space="preserve">Exam scores, home work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Convention on International Civil Aviation, Signed at Chicago, 7 December 1944 Annex 6 (ICAO): Operation of Aircraft, Annex 8 (ICAO): Airworthiness of Aircraft COMMISSION REGULATION (EC) No 2042/2003 of 20 November 2003 on the continuing airworthiness of aircraft and aeronautical products, parts and appliances, and on the approval of organisations and personnel involved in these tasks. COMMISSION REGULATION (EC) No 1702/2003 of 24 September 2003 laying down implementing rules for the airworthiness and environmental certification of aircraft and related products, parts and appliances, as well as for the certification of design and production.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2026-04-06T14:18:28+02:00</dcterms:created>
  <dcterms:modified xsi:type="dcterms:W3CDTF">2026-04-06T14:18:28+02:00</dcterms:modified>
</cp:coreProperties>
</file>

<file path=docProps/custom.xml><?xml version="1.0" encoding="utf-8"?>
<Properties xmlns="http://schemas.openxmlformats.org/officeDocument/2006/custom-properties" xmlns:vt="http://schemas.openxmlformats.org/officeDocument/2006/docPropsVTypes"/>
</file>