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Telecommunication</w:t>
      </w:r>
    </w:p>
    <w:p>
      <w:pPr>
        <w:keepNext w:val="1"/>
        <w:spacing w:after="10"/>
      </w:pPr>
      <w:r>
        <w:rPr>
          <w:b/>
          <w:bCs/>
        </w:rPr>
        <w:t xml:space="preserve">Koordynator przedmiotu: </w:t>
      </w:r>
    </w:p>
    <w:p>
      <w:pPr>
        <w:spacing w:before="20" w:after="190"/>
      </w:pPr>
      <w:r>
        <w:rPr/>
        <w:t xml:space="preserve">dr inż. Ryszard Kowalik, ryszard.kowalik@ien.pw.edu.pl, tel. +48222345608; dr inż.Desire Rasolomampionona, desire.rasolomampionona@ien.pw.edu.pl, tel.+48222347351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Participants should have a basic knowledge of electrical and electronic engineering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telecommunication technology. Understanding of local and wide area telecommunication systems working priciple </w:t>
      </w:r>
    </w:p>
    <w:p>
      <w:pPr>
        <w:keepNext w:val="1"/>
        <w:spacing w:after="10"/>
      </w:pPr>
      <w:r>
        <w:rPr>
          <w:b/>
          <w:bCs/>
        </w:rPr>
        <w:t xml:space="preserve">Treści kształcenia: </w:t>
      </w:r>
    </w:p>
    <w:p>
      <w:pPr>
        <w:spacing w:before="20" w:after="190"/>
      </w:pPr>
      <w:r>
        <w:rPr/>
        <w:t xml:space="preserve">Types of information exchanged between control and monitoring systems, information encoding methods, information protection methods, information transmission structure, mechanisms and systems of parallel to serial data conversion considering additional ways of serial transmission error control, local data transmission standards like RS232, RS485, RS422, optic fiber links, Ethernet, analogue system data transmission fundamentals  (i.e. Wireless, PSTN, ETN), theoretical fundamentals of digital transmission systems (i.e. PDH, SDH) and radio system transmission (i.e. trunking, GSM), examples of protocols used in telecommunication Modbus, TCP/IP, DNP3.0 and IEC61850, presentation of some polish and foreign control systems using these standards.                                                                                                                                                                                                                                                      Lab : Methods used for data transmission in analogue (amplitude and frequency modulation, demodulation etc.) and digital systems (phase exclusion etc.), selected standards of asynchronous data transfer used in power system local data transmission ((RS232, RS422, data transfer using fiber optic links and WAN connections (modem links in private networks and PSTN). The principle of data transfer in LAN and WAN networks using the TCP/IP standard (role and configuration of active elements like hub, switch or router)</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Kowalik: Fundamentals of Telecommunications for Power Engineers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2026-04-07T11:07:27+02:00</dcterms:created>
  <dcterms:modified xsi:type="dcterms:W3CDTF">2026-04-07T11:07:27+02:00</dcterms:modified>
</cp:coreProperties>
</file>

<file path=docProps/custom.xml><?xml version="1.0" encoding="utf-8"?>
<Properties xmlns="http://schemas.openxmlformats.org/officeDocument/2006/custom-properties" xmlns:vt="http://schemas.openxmlformats.org/officeDocument/2006/docPropsVTypes"/>
</file>