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and Ecological Aspects of Biotechnology</w:t>
      </w:r>
    </w:p>
    <w:p>
      <w:pPr>
        <w:keepNext w:val="1"/>
        <w:spacing w:after="10"/>
      </w:pPr>
      <w:r>
        <w:rPr>
          <w:b/>
          <w:bCs/>
        </w:rPr>
        <w:t xml:space="preserve">Koordynator przedmiotu: </w:t>
      </w:r>
    </w:p>
    <w:p>
      <w:pPr>
        <w:spacing w:before="20" w:after="190"/>
      </w:pPr>
      <w:r>
        <w:rPr/>
        <w:t xml:space="preserve">prof. dr hab. inż. Andrzej Kulig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w:t>
      </w:r>
    </w:p>
    <w:p>
      <w:pPr>
        <w:keepNext w:val="1"/>
        <w:spacing w:after="10"/>
      </w:pPr>
      <w:r>
        <w:rPr>
          <w:b/>
          <w:bCs/>
        </w:rPr>
        <w:t xml:space="preserve">Treści kształcenia: </w:t>
      </w:r>
    </w:p>
    <w:p>
      <w:pPr>
        <w:spacing w:before="20" w:after="190"/>
      </w:pPr>
      <w:r>
        <w:rPr/>
        <w:t xml:space="preserve">Lectures, provide the students with the knowledge of formal and legal procedures and give them skills required to carry out environmental impact assessments and ecological surveys, and produce formal reports which form the basis for social acceptance and administrative (e.g. environmental) decisions.</w:t>
      </w:r>
    </w:p>
    <w:p>
      <w:pPr>
        <w:keepNext w:val="1"/>
        <w:spacing w:after="10"/>
      </w:pPr>
      <w:r>
        <w:rPr>
          <w:b/>
          <w:bCs/>
        </w:rPr>
        <w:t xml:space="preserve">Metody oceny: </w:t>
      </w:r>
    </w:p>
    <w:p>
      <w:pPr>
        <w:spacing w:before="20" w:after="190"/>
      </w:pPr>
      <w:r>
        <w:rPr/>
        <w:t xml:space="preserve">Colloquy – credit in a written format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Environmental protection regulations, including Act of 3 October 2008 on Making Accessible Information about Environment and its Protection, Public Participation in Environmental Protection and Environmental Impact Assessment (Official Journal No 194, Item 1227 as amended) and Regulation on Determination of the Types of Projects Which May Have a Substantial Impact on the Environment, and on Detailed Conditions to Be Met for a Project to Qualify for Preparation of the Environmental Impact Report issued by the Cabinet on 9 November 2004 (Official Journal No 257, Item 2573).
2.	Glasson J., Therivel R., Chadwick A. (1999): Introduction to Environmental Impact Assessment. Principles and procedures, process, practice and prospects. The Natural and Built Environment Series. 2nd edition. UCL Press Ltd. London.
3.	Harrop O. D., Nixon A. J. (1999): Environmental Assessment in Practice. Routledge Environmental Management Series. Routledge. London.
4.	Selected publications (bibliography items) from magazines, including “Problemy ocen środowiskowych”.
5.	Selected internet sources (with accurate indication of the website address).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2026-06-11T01:52:22+02:00</dcterms:created>
  <dcterms:modified xsi:type="dcterms:W3CDTF">2026-06-11T01:52:22+02:00</dcterms:modified>
</cp:coreProperties>
</file>

<file path=docProps/custom.xml><?xml version="1.0" encoding="utf-8"?>
<Properties xmlns="http://schemas.openxmlformats.org/officeDocument/2006/custom-properties" xmlns:vt="http://schemas.openxmlformats.org/officeDocument/2006/docPropsVTypes"/>
</file>