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Prof. dr hab. inż.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Wiedza dotycząca osnów geodezyjnych zasad pomiarów szczegółów sytuacyjnych, rozgraniczenia nieruchomości, podstaw prawa rzeczowego dotyczącego nieruchomoś</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 przedmiotu: Znajomość problematyki dotyczącej obiektów katastralnych, zasad zakładania operatu katastralnego oraz prowadzenia katastru.</w:t>
      </w:r>
    </w:p>
    <w:p>
      <w:pPr>
        <w:keepNext w:val="1"/>
        <w:spacing w:after="10"/>
      </w:pPr>
      <w:r>
        <w:rPr>
          <w:b/>
          <w:bCs/>
        </w:rPr>
        <w:t xml:space="preserve">Treści kształcenia: </w:t>
      </w:r>
    </w:p>
    <w:p>
      <w:pPr>
        <w:spacing w:before="20" w:after="190"/>
      </w:pPr>
      <w:r>
        <w:rPr/>
        <w:t xml:space="preserve">Definicja i cel katastru nieruchomości. Podstawy prawne oraz organy prowadzące kataster. Podstawowe obiekty katastralne (jednostka ewidencyjna, obręb ewidencyjny, działka ewidencyjna, budynek, nieruchomość). Systematyka użytków gruntowych.  Dokumentacja stanowiąca podstawę do założenia katastru. Dane katastralne działki   budynku i lokalu. Części składowe operatu katastralnego: operat geodezyjno - prawny, baza danych katastralnych operat opisowo-kartograficzny, Kataster a księgi wieczyste. Prowadzenie i modernizacja katastru nieruchomości.  
Założenie katastru dla określonego obrębu ewidencyjnego (część opisowa i geometryczna). Sporządzenie dokumentacji niezbędnej do założenia księgi wieczystej.   Aktualizacja operatu katastralnego.
</w:t>
      </w:r>
    </w:p>
    <w:p>
      <w:pPr>
        <w:keepNext w:val="1"/>
        <w:spacing w:after="10"/>
      </w:pPr>
      <w:r>
        <w:rPr>
          <w:b/>
          <w:bCs/>
        </w:rPr>
        <w:t xml:space="preserve">Metody oceny: </w:t>
      </w:r>
    </w:p>
    <w:p>
      <w:pPr>
        <w:spacing w:before="20" w:after="190"/>
      </w:pPr>
      <w:r>
        <w:rPr/>
        <w:t xml:space="preserve">Metody oceny: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1.Wilkowski W., Jaroszewska M.; Kataster nieruchomości, przepisy prawa i komentarze; PHU GEO-DRUK, Warszawa 2004,
2.Ustawa „Prawo geodezyjne i kartograficzne” Dz.U. z 2005 r., Nr. 240 poz. 2027 z późniejszymi zmianami,
3.Rozporządzenie Ministra Rozwoju Regionalnego i Budownictwa w sprawie ewidencji gruntów i budynków Dz.U. Nr. 38 z 2001 r., poz. 454,
4.Wytyczne techniczno – organizacyjne w sprawie prowadzenia ewidencji gruntów i budynków „Instrukcja G-5 – Ewidencja gruntów i budynków” wprowadzone zarządzeniem nr 16 Głównego Geodety Kraju z dnia 3 listopada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2026-08-20T15:01:30+02:00</dcterms:created>
  <dcterms:modified xsi:type="dcterms:W3CDTF">2026-08-20T15:01:30+02:00</dcterms:modified>
</cp:coreProperties>
</file>

<file path=docProps/custom.xml><?xml version="1.0" encoding="utf-8"?>
<Properties xmlns="http://schemas.openxmlformats.org/officeDocument/2006/custom-properties" xmlns:vt="http://schemas.openxmlformats.org/officeDocument/2006/docPropsVTypes"/>
</file>