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Europejski system oceny zgodności </w:t>
      </w:r>
    </w:p>
    <w:p>
      <w:pPr>
        <w:keepNext w:val="1"/>
        <w:spacing w:after="10"/>
      </w:pPr>
      <w:r>
        <w:rPr>
          <w:b/>
          <w:bCs/>
        </w:rPr>
        <w:t xml:space="preserve">Koordynator przedmiotu: </w:t>
      </w:r>
    </w:p>
    <w:p>
      <w:pPr>
        <w:spacing w:before="20" w:after="190"/>
      </w:pPr>
      <w:r>
        <w:rPr/>
        <w:t xml:space="preserve">Dr inż. Bolesław Szomański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Przedsiębiorstwo w Zintegrowanej Europie</w:t>
      </w:r>
    </w:p>
    <w:p>
      <w:pPr>
        <w:keepNext w:val="1"/>
        <w:spacing w:after="10"/>
      </w:pPr>
      <w:r>
        <w:rPr>
          <w:b/>
          <w:bCs/>
        </w:rPr>
        <w:t xml:space="preserve">Kod przedmiotu: </w:t>
      </w:r>
    </w:p>
    <w:p>
      <w:pPr>
        <w:spacing w:before="20" w:after="190"/>
      </w:pPr>
      <w:r>
        <w:rPr/>
        <w:t xml:space="preserve">EUSOZ</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dyrektywy starego podejścia, dyrektywy nowego podejścia, normy zharmonizowane, normy nie zharmonizowane, ocena zgodności, podejście globalne, moduły oceny zgodności, znak CE, akredytacja, certyfikacja, badania, kontrola, odpowiedzialność za wyrób, nadzór rynku, oznaczanie wyrobów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Wyjaśnienie zasad: likwidacji barier technicznych w handlu w UE, swobodnego przepływu towarów w UE oraz uregulowań prawnych i normatywnych z tym związanych. Omówienie krajowych i międzynarodowych instytucji i procedur w zakresie: akredytacji, certyfikacji, badań, kontroli i nadzoru rynku. Jednym z istotnych warunków równorzędnej współpracy Polski z krajami UE jest wdrożenie systemu prawnego i normatywnego Unii w zakresie likwidacji w handlu barier o charakterze technicznym. W praktyce sprowadza się to do wdrożenia sprawnego krajowego systemu akredytacji, certyfikacji i badań.</w:t>
      </w:r>
    </w:p>
    <w:p>
      <w:pPr>
        <w:keepNext w:val="1"/>
        <w:spacing w:after="10"/>
      </w:pPr>
      <w:r>
        <w:rPr>
          <w:b/>
          <w:bCs/>
        </w:rPr>
        <w:t xml:space="preserve">Treści kształcenia: </w:t>
      </w:r>
    </w:p>
    <w:p>
      <w:pPr>
        <w:spacing w:before="20" w:after="190"/>
      </w:pPr>
      <w:r>
        <w:rPr/>
        <w:t xml:space="preserve">WYKŁAD 1. Wprowadzenie do przedmiotu. 2. Zasady tworzenia prawa w UE. 3. Dyrektywy nowego i starego podejścia. 4. Ocena zgodności - podejście globalne. 5. Krajowy system akredytacji. 6. Krajowy system certyfikacji. 7. Badania. 8. Kontrole. 9. Audity. 10. Odpowiedzialność za wyrób wadliwy. 11. Ogólne bezpieczeństwo wyrobów. 12. Nadzór rynku. 13. Oznaczanie wyrobów. 14. Przykład 1. Dyrektywa maszynowa. 15. Przykład 2. Dyrektywa dotycząca kompatybilności elektromagnetycznej.</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Bagiński. Zintegrowane zarządzanie jakością. Oficyna Wydawnicza PW, Warszawa 2004. 2. ABC jakości - roczniki 2000 - 2003. 3. Ustawa z dn. 30 sierpnia 2002 o systemie oceny zgodności. 4. PN EN 45020:2000. Podstawowe terminy i definicje.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2026-06-20T00:55:28+02:00</dcterms:created>
  <dcterms:modified xsi:type="dcterms:W3CDTF">2026-06-20T00:55:28+02:00</dcterms:modified>
</cp:coreProperties>
</file>

<file path=docProps/custom.xml><?xml version="1.0" encoding="utf-8"?>
<Properties xmlns="http://schemas.openxmlformats.org/officeDocument/2006/custom-properties" xmlns:vt="http://schemas.openxmlformats.org/officeDocument/2006/docPropsVTypes"/>
</file>