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w ochronie roślin </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K_U06, K_U11</w:t>
      </w:r>
    </w:p>
    <w:p>
      <w:pPr>
        <w:spacing w:before="20" w:after="190"/>
      </w:pPr>
      <w:r>
        <w:rPr>
          <w:b/>
          <w:bCs/>
        </w:rPr>
        <w:t xml:space="preserve">Powiązane efekty obszarowe: </w:t>
      </w:r>
      <w:r>
        <w:rPr/>
        <w:t xml:space="preserve">T2A_U01, T2A_U05, T2A_U10, T2A_U04, T2A_U08,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2026-10-15T04:36:37+02:00</dcterms:created>
  <dcterms:modified xsi:type="dcterms:W3CDTF">2026-10-15T04:36:37+02:00</dcterms:modified>
</cp:coreProperties>
</file>

<file path=docProps/custom.xml><?xml version="1.0" encoding="utf-8"?>
<Properties xmlns="http://schemas.openxmlformats.org/officeDocument/2006/custom-properties" xmlns:vt="http://schemas.openxmlformats.org/officeDocument/2006/docPropsVTypes"/>
</file>