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 </w:t>
      </w:r>
    </w:p>
    <w:p>
      <w:pPr>
        <w:keepNext w:val="1"/>
        <w:spacing w:after="10"/>
      </w:pPr>
      <w:r>
        <w:rPr>
          <w:b/>
          <w:bCs/>
        </w:rPr>
        <w:t xml:space="preserve">Koordynator przedmiotu: </w:t>
      </w:r>
    </w:p>
    <w:p>
      <w:pPr>
        <w:spacing w:before="20" w:after="190"/>
      </w:pPr>
      <w:r>
        <w:rPr/>
        <w:t xml:space="preserve">prof. dr hab. inż. Elżbieta Malinowska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laboratorium – 30h
2.	przygotowanie sprawozdań ćwiczeń laboratoryjnych – 30h
3.	przygotowanie do egzaminu i obecność na egzaminie – 25h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sensorów oraz mechanizmów towarzyszących rozpoznawaniu analitów i generowaniu sygnału chemicznego w warstwie receptorowej sensora
•	znać perspektywy rozwoju sensorów i biosensorów, 
•	oceniać prawidłowo przydatność określonych sensorów i biosensorów do oznaczeń analitycznych w kontroli analitycznej (np. procesów biotechnologicznych, diagnostyce medycznej, przemyśle spożywczym, ochronie środowiska, itp.),
•	realizować pod kierunkiem prowadzącego ćwiczenia laboratoryjne z wykorzystaniem nowoczesnych urządzeń analitycznych i dokonać analizy wyników.
</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
Laboratory will introduce students to construction and utilization of sensors and biosensors with different transducers: optical and electrochemical.
</w:t>
      </w:r>
    </w:p>
    <w:p>
      <w:pPr>
        <w:keepNext w:val="1"/>
        <w:spacing w:after="10"/>
      </w:pPr>
      <w:r>
        <w:rPr>
          <w:b/>
          <w:bCs/>
        </w:rPr>
        <w:t xml:space="preserve">Metody oceny: </w:t>
      </w:r>
    </w:p>
    <w:p>
      <w:pPr>
        <w:spacing w:before="20" w:after="190"/>
      </w:pPr>
      <w:r>
        <w:rPr/>
        <w:t xml:space="preserve">Written examination or presentation and reports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Z. Brzózka, W. Wróblewski, Sensory chemiczne, Oficyna Wydawnicza Politechniki Warszawskiej, 1998.
2.	U.E. Spichiger-Keller, Chemical Sensors and Biosensors for Medical and Biological Applications, Wiley-VCH, 1998.
3.	B. Eggins, Biosensors, John Wiley &amp; Sons,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sensorów i biosensorów oraz mechanizmy towarzyszących rozpoznawaniu analitów i generowaniu sygnału analitycznego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keepNext w:val="1"/>
        <w:spacing w:after="10"/>
      </w:pPr>
      <w:r>
        <w:rPr>
          <w:b/>
          <w:bCs/>
        </w:rPr>
        <w:t xml:space="preserve">Efekt W02: </w:t>
      </w:r>
    </w:p>
    <w:p>
      <w:pPr/>
      <w:r>
        <w:rPr/>
        <w:t xml:space="preserve">zna perspektywy rozwoju sensorów i biosensorów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określonych sensorów i biosensorów do oznaczeń analitycznych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K_U13, K_U17</w:t>
      </w:r>
    </w:p>
    <w:p>
      <w:pPr>
        <w:spacing w:before="20" w:after="190"/>
      </w:pPr>
      <w:r>
        <w:rPr>
          <w:b/>
          <w:bCs/>
        </w:rPr>
        <w:t xml:space="preserve">Powiązane efekty obszarowe: </w:t>
      </w:r>
      <w:r>
        <w:rPr/>
        <w:t xml:space="preserve">T2A_U09, T2A_U11, T2A_U13, T2A_U15, T2A_U16</w:t>
      </w:r>
    </w:p>
    <w:p>
      <w:pPr>
        <w:keepNext w:val="1"/>
        <w:spacing w:after="10"/>
      </w:pPr>
      <w:r>
        <w:rPr>
          <w:b/>
          <w:bCs/>
        </w:rPr>
        <w:t xml:space="preserve">Efekt U02: </w:t>
      </w:r>
    </w:p>
    <w:p>
      <w:pPr/>
      <w:r>
        <w:rPr/>
        <w:t xml:space="preserve">potrafi zaprojektować sposób kontroli analitycznej wybranych procesów biotechnologicznych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T2A_U08, T2A_U09, T2A_U11</w:t>
      </w:r>
    </w:p>
    <w:p>
      <w:pPr>
        <w:keepNext w:val="1"/>
        <w:spacing w:after="10"/>
      </w:pPr>
      <w:r>
        <w:rPr>
          <w:b/>
          <w:bCs/>
        </w:rPr>
        <w:t xml:space="preserve">Efekt U03: </w:t>
      </w:r>
    </w:p>
    <w:p>
      <w:pPr/>
      <w:r>
        <w:rPr/>
        <w:t xml:space="preserve">potrafi zaprojektować sposób kontroli analitycznej wybranych procesów biotechnologicznych potrafi opracować uzyskane dane eksperymentalne i przygotować raport z przeprowadzonych badań</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T2A_U05, T2A_U08, T2A_U05, T2A_U08, T2A_U09, T2A_U10, T2A_U09, T2A_U11</w:t>
      </w:r>
    </w:p>
    <w:p>
      <w:pPr>
        <w:keepNext w:val="1"/>
        <w:spacing w:after="10"/>
      </w:pPr>
      <w:r>
        <w:rPr>
          <w:b/>
          <w:bCs/>
        </w:rPr>
        <w:t xml:space="preserve">Efekt U04: </w:t>
      </w:r>
    </w:p>
    <w:p>
      <w:pPr/>
      <w:r>
        <w:rPr/>
        <w:t xml:space="preserve">potrafi posługiwać się specjalistyczną nomenklaturą w języku angielskim</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T2A_U05, T2A_U10, T2A_U02, T2A_U03, T2A_U06, T2A_U03, T2A_U05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2026-10-15T04:02:08+02:00</dcterms:created>
  <dcterms:modified xsi:type="dcterms:W3CDTF">2026-10-15T04:02:08+02:00</dcterms:modified>
</cp:coreProperties>
</file>

<file path=docProps/custom.xml><?xml version="1.0" encoding="utf-8"?>
<Properties xmlns="http://schemas.openxmlformats.org/officeDocument/2006/custom-properties" xmlns:vt="http://schemas.openxmlformats.org/officeDocument/2006/docPropsVTypes"/>
</file>