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Culture &amp; Tradition (A)</w:t>
      </w:r>
    </w:p>
    <w:p>
      <w:pPr>
        <w:keepNext w:val="1"/>
        <w:spacing w:after="10"/>
      </w:pPr>
      <w:r>
        <w:rPr>
          <w:b/>
          <w:bCs/>
        </w:rPr>
        <w:t xml:space="preserve">Koordynator przedmiotu: </w:t>
      </w:r>
    </w:p>
    <w:p>
      <w:pPr>
        <w:spacing w:before="20" w:after="190"/>
      </w:pPr>
      <w:r>
        <w:rPr/>
        <w:t xml:space="preserve">mgr Anna SOCZÓWKA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ECULT</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&lt;P&gt;The course covers main aspects of British and American life from 'The Government' to 'Entertainment', gives the essential facts about Britain and the USA and looks at the attitudes and beliefs which shape them. Students may find information about: &lt;/P&gt;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2026-10-15T14:37:02+02:00</dcterms:created>
  <dcterms:modified xsi:type="dcterms:W3CDTF">2026-10-15T14:37:02+02:00</dcterms:modified>
</cp:coreProperties>
</file>

<file path=docProps/custom.xml><?xml version="1.0" encoding="utf-8"?>
<Properties xmlns="http://schemas.openxmlformats.org/officeDocument/2006/custom-properties" xmlns:vt="http://schemas.openxmlformats.org/officeDocument/2006/docPropsVTypes"/>
</file>