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Cyfrowa elektroenergetyczna automatyka zabezpieczeniowa</w:t>
      </w:r>
    </w:p>
    <w:p>
      <w:pPr>
        <w:keepNext w:val="1"/>
        <w:spacing w:after="10"/>
      </w:pPr>
      <w:r>
        <w:rPr>
          <w:b/>
          <w:bCs/>
        </w:rPr>
        <w:t xml:space="preserve">Koordynator przedmiotu: </w:t>
      </w:r>
    </w:p>
    <w:p>
      <w:pPr>
        <w:spacing w:before="20" w:after="190"/>
      </w:pPr>
      <w:r>
        <w:rPr/>
        <w:t xml:space="preserve">dr Ryszard Kowalik, Ryszard.Kowalik@ien.pw.edu.pl, tel.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techniki mikroprocesorowej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działania, nastawiania parametrów pracy oraz metod weryfikacji działania cyfrowych urządzeń automatyki elektroenergetycznej.</w:t>
      </w:r>
    </w:p>
    <w:p>
      <w:pPr>
        <w:keepNext w:val="1"/>
        <w:spacing w:after="10"/>
      </w:pPr>
      <w:r>
        <w:rPr>
          <w:b/>
          <w:bCs/>
        </w:rPr>
        <w:t xml:space="preserve">Treści kształcenia: </w:t>
      </w:r>
    </w:p>
    <w:p>
      <w:pPr>
        <w:spacing w:before="20" w:after="190"/>
      </w:pPr>
      <w:r>
        <w:rPr/>
        <w:t xml:space="preserve">W : Pojęcia podstawowe cyfrowej automatyki elektroenergetycznej. Systemy spotykane w stacjach elektroenergetycznych w tym: system zabezpieczeń, system rejestracji zakłóceń i zdarzeń, system sterowania i nadzoru, system pomiarów energii, system telekomunikacyjny, układy potrzeb własnych. Przetwarzanie analogowo-cyfrowe i cyfrowo-analogowe w urządzeniach AE. Układy współpracy urządzeń automatyki w tym współpraca w ramach pola, układy międzypolowe oraz ogólnostacyjne. Podstawy konstrukcji sterowników mikroprocesorowych stosowanych w elektroenergetyce, w tym konstrukcja, zasada działania oraz cechy funkcjonalne ich elementów składowych (wejść dwustanowych, wejść analogowych, układu wyświetlacza i klawiatury, układu łącza szeregowego, jednostki centralnej jednoprocesorowej i wieloprocesorowej). Wybrane zagadnienia dotyczące łączy oraz protokołów telekomunikacyjnych wykorzystywanych przez układy automatyki.                                                                                                                                                                                   L:  Badanie mikroprocesorowego rejestratora zakłóceń BEN 5000. Badanie cyfrowego urządzenia REG 316*4 do zabezpieczenia generatorów. Badanie cyfrowego urządzenia 7UT512 do zabezpieczenia transformatorów. Badanie cyfrowego urządzenia 7SD510 do zabezpieczenia linii wysokiego napięcia (porównawczo fazowe). System monitorowania stanu autotransformatora. Badanie cyfrowego urządzenia REL 511 do zabezpieczenia linii wysokiego napięcia.                                                                                                                                                                       </w:t>
      </w:r>
    </w:p>
    <w:p>
      <w:pPr>
        <w:keepNext w:val="1"/>
        <w:spacing w:after="10"/>
      </w:pPr>
      <w:r>
        <w:rPr>
          <w:b/>
          <w:bCs/>
        </w:rPr>
        <w:t xml:space="preserve">Metody oceny: </w:t>
      </w:r>
    </w:p>
    <w:p>
      <w:pPr>
        <w:spacing w:before="20" w:after="190"/>
      </w:pPr>
      <w:r>
        <w:rPr/>
        <w:t xml:space="preserve">Za wykład: 50 pkt., za laboratorium 50 pkt. Zaliczenie na podstawie sumy punktów (od 51 pkt. ocena 3,0; od 61 pkt. ocena 3,5, od 71 pkt. ocena 4, od 81 pkt. ocena 4,5, od 91 pkt. ocena 5). Należy zaliczyć wykład oraz laboratoium i uzyskać w sumie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 R. Kowalik, M. Januszewski, A. Smolarczyk: Elektroenergetyczna automatyka cyfrowa. Skrypt WPW, Warszawa 2007,                                                                                               L : J.Machowski praca zbiorowa:  Laboratorium cyfrowej elektroenergetycznej automatyki zabezpieczeniowej, Skrypt WPW, Warszawa 2003.
R. Kowalik, M. Januszewski, A. Smolarczyk: Elektroenergetyczna automatyka cyfrowa. Skrypt WPW,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2026-08-27T02:45:55+02:00</dcterms:created>
  <dcterms:modified xsi:type="dcterms:W3CDTF">2026-08-27T02:45:55+02:00</dcterms:modified>
</cp:coreProperties>
</file>

<file path=docProps/custom.xml><?xml version="1.0" encoding="utf-8"?>
<Properties xmlns="http://schemas.openxmlformats.org/officeDocument/2006/custom-properties" xmlns:vt="http://schemas.openxmlformats.org/officeDocument/2006/docPropsVTypes"/>
</file>