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przygotowaniu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	Izotopy dla medycyny nuklearnej (4h);
•	Anatomia i fizjologia organów (4h);
•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	Automatyzacja diagnostyki izotopowej w badaniach:
o	układu nerwowego (ocena przepływu przez naczynia szyjne, naczynia krwionośne i perfuzja półkul mózgowych),
o	czynności komór serca: (metodą pierwszego przejścia, metodą bramkowania sygnałem EKG),
o	przepływu krwi w mięśniu sercowym (badania z zastosowaniem izotopu talu Tl-201, badania za pomocą związków izonitrylowych - MIBI),
o	czynności nerek (ocena klirensu i filtracji kłębkowej (GFR), wychwyt DMSA),
o	czynności wątroby (przepływ krwi w układzie wrotnym),
o	układu pokarmowego (ocena refluksu przełykowo-żołądkowego),
o	tarczycy (perfuzja płatów tarczycy i guzków, wychwyt jodowy),
1.	Statystyka pomiarów scyntygraficznych
2.	Budowa i zasada działania gammakamery
3.	Akwizycja obrazów gammakamerowych
4.	Analiza wybranych badań czynnościowych
5.	Algorytmy rekonstrukcji obrazów dla tomografii SPECT
6.	Analiza tomograficznych obrazów multimodalnych
</w:t>
      </w:r>
    </w:p>
    <w:p>
      <w:pPr>
        <w:keepNext w:val="1"/>
        <w:spacing w:after="10"/>
      </w:pPr>
      <w:r>
        <w:rPr>
          <w:b/>
          <w:bCs/>
        </w:rPr>
        <w:t xml:space="preserve">Metody oceny: </w:t>
      </w:r>
    </w:p>
    <w:p>
      <w:pPr>
        <w:spacing w:before="20" w:after="190"/>
      </w:pPr>
      <w:r>
        <w:rPr/>
        <w:t xml:space="preserve">W przygotowaniu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Królicki, Medycyna nuklearna, Fundacja im. Ludwika Rydygiera, Warszawa 1996.
2.	L. E .Williams, Nuclear Medical Physics, vol. I, II, III , CRC Press, 1987.
3.	P.J. El, B.I. Hollman, Computed Emission Tomography, Oxford University Press, 1982.
4.	S. A. Larsson, Gamma Camera Emission Tomography, Acta Radiologica Supplementum, 363, Stockholm, 1980.
5.	W.D. Townsend, M. Dfrise, Image Reconstruction Methods in Positron Tomography, CERN Reports 93-02, 1993.
6.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2026-10-13T19:05:02+02:00</dcterms:created>
  <dcterms:modified xsi:type="dcterms:W3CDTF">2026-10-13T19:05:02+02:00</dcterms:modified>
</cp:coreProperties>
</file>

<file path=docProps/custom.xml><?xml version="1.0" encoding="utf-8"?>
<Properties xmlns="http://schemas.openxmlformats.org/officeDocument/2006/custom-properties" xmlns:vt="http://schemas.openxmlformats.org/officeDocument/2006/docPropsVTypes"/>
</file>