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III - wykład </w:t>
      </w:r>
    </w:p>
    <w:p>
      <w:pPr>
        <w:keepNext w:val="1"/>
        <w:spacing w:after="10"/>
      </w:pPr>
      <w:r>
        <w:rPr>
          <w:b/>
          <w:bCs/>
        </w:rPr>
        <w:t xml:space="preserve">Koordynator przedmiotu: </w:t>
      </w:r>
    </w:p>
    <w:p>
      <w:pPr>
        <w:spacing w:before="20" w:after="190"/>
      </w:pPr>
      <w:r>
        <w:rPr/>
        <w:t xml:space="preserve">Dr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w:t>
      </w:r>
    </w:p>
    <w:p>
      <w:pPr>
        <w:keepNext w:val="1"/>
        <w:spacing w:after="10"/>
      </w:pPr>
      <w:r>
        <w:rPr>
          <w:b/>
          <w:bCs/>
        </w:rPr>
        <w:t xml:space="preserve">Treści kształcenia: </w:t>
      </w:r>
    </w:p>
    <w:p>
      <w:pPr>
        <w:spacing w:before="20" w:after="190"/>
      </w:pPr>
      <w:r>
        <w:rPr/>
        <w:t xml:space="preserve">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rentgenowskich.Budowa dyfraktometrów. Rentgenowska analiza
strukturalna – ilościowa i jakościowa. Spektrometria rentgenowska.
Budowa mikroskopu elektronowego transmisyjnego. Mikroskopia
elektronowa odbiciowa. Mikroskop skaningowy. Fraktografia. Wiązka elektronowa i jej własności.Podstawy dyfrakcji elektronów i neutronów.Neutronografia. Stosowanie promieniowania synchrotronowego do badania materiałów. Zastosowanie metod mikroskopowych,dyfrakcyjnych i spektroskopowych (spektroskopia elektronowa, Augera i fotoelektronów) do  badań strukturalnych w inżynierii materiałowej. 
Spektroskopia efektu Moessbauera i anihilacji pozytonów.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2026-10-13T17:23:42+02:00</dcterms:created>
  <dcterms:modified xsi:type="dcterms:W3CDTF">2026-10-13T17:23:42+02:00</dcterms:modified>
</cp:coreProperties>
</file>

<file path=docProps/custom.xml><?xml version="1.0" encoding="utf-8"?>
<Properties xmlns="http://schemas.openxmlformats.org/officeDocument/2006/custom-properties" xmlns:vt="http://schemas.openxmlformats.org/officeDocument/2006/docPropsVTypes"/>
</file>