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Przeprowadzić analizę możliwości realizacji reakcji łańcuchowej, w tym możliwości powielania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Samodzielnie przeprowadzić bilans neutronów i wyprowadzić równania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i wprowadzić uproszczony opis zagadnienia transportu neutronów, w tym dla przybliżenia dyfuzyjnego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Przeprowadzić analizę procesu spowalniania i towarzyszącego mu pochłaniania neutronów w tzw. obszarze rezonansowym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Przeprowadzić analizę zjawiska termalizacji neutronów oraz uzasadnić i wyprowadzić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Przeprowadzić analizę krytyczności reaktora jądrowego, opartą na podejściu jednogrupowym dyfuzyjnym, w tym wyznaczyć współczynnik mnożenia neutronów, reaktywność, wymiary krytyczne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Przeprowadzić analizę zmian reaktywności w trakcie pracy reaktora oraz oszacować wartości temperaturowych współczynników reaktywności i wartości związane z zatruciem ksenonem i samarem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Przeprowadzić bilans neutronów opóźnionych i analizę kinetyki reaktora 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Przeprowadzić analizę dynamiki reaktora jądrowego w oparciu o bilans neutronów opóźnionych i wartości temperaturowych współczynników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