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NK371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  </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Krajowy Rejestr Sądowy
W5. Spółki osobowe prawa handlowego. 
W6. Spółki kapitałowe prawa handlowego.
W7. Fundacje i stowarzyszenia jako przedsiębiorcy.
W8. Umowy w działalności gospodarczej. 
W9. Własność i inne prawa rzeczowe. Księgi wieczyste
W10. Prawne podstawy prowadzenia e-biznesu.
W11. Ochrona konkurencji i konsumentów. 
W12. Rozstrzyganie sporów gospodarczych.
W13. Prawne formy zatrudnienia – umowy o pracę i umowy cywilnoprawne.
W14. Podatki w działalności gospodarczej.
W15. Wprowadzenie do prawa autorskiego.
</w:t>
      </w:r>
    </w:p>
    <w:p>
      <w:pPr>
        <w:keepNext w:val="1"/>
        <w:spacing w:after="10"/>
      </w:pPr>
      <w:r>
        <w:rPr>
          <w:b/>
          <w:bCs/>
        </w:rPr>
        <w:t xml:space="preserve">Metody oceny: </w:t>
      </w:r>
    </w:p>
    <w:p>
      <w:pPr>
        <w:spacing w:before="20" w:after="190"/>
      </w:pPr>
      <w:r>
        <w:rPr/>
        <w:t xml:space="preserve">zaliczenie w formie testu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E2_W20, E2_W21, E2_W22</w:t>
      </w:r>
    </w:p>
    <w:p>
      <w:pPr>
        <w:spacing w:before="20" w:after="190"/>
      </w:pPr>
      <w:r>
        <w:rPr>
          <w:b/>
          <w:bCs/>
        </w:rPr>
        <w:t xml:space="preserve">Powiązane efekty obszarowe: </w:t>
      </w:r>
      <w:r>
        <w:rPr/>
        <w:t xml:space="preserve">T2A_W09, T2A_W10, T2A_W11</w:t>
      </w:r>
    </w:p>
    <w:p>
      <w:pPr>
        <w:pStyle w:val="Heading3"/>
      </w:pPr>
      <w:bookmarkStart w:id="3" w:name="_Toc3"/>
      <w:r>
        <w:t>Profil ogólnoakademicki - kompetencje społeczne</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 E2_K06</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2026-10-14T04:57:17+02:00</dcterms:created>
  <dcterms:modified xsi:type="dcterms:W3CDTF">2026-10-14T04:57:17+02:00</dcterms:modified>
</cp:coreProperties>
</file>

<file path=docProps/custom.xml><?xml version="1.0" encoding="utf-8"?>
<Properties xmlns="http://schemas.openxmlformats.org/officeDocument/2006/custom-properties" xmlns:vt="http://schemas.openxmlformats.org/officeDocument/2006/docPropsVTypes"/>
</file>