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Andrzej Miller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wiedze o uwarunkowaniach prawnych i regulacjach dla sektora energetycznego</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wykorzystywac normy i regulacje branzowe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EU2: </w:t>
      </w:r>
    </w:p>
    <w:p>
      <w:pPr/>
      <w:r>
        <w:rPr/>
        <w:t xml:space="preserve">umie okreslic wpływ regulacji prawnych na parametry i działanie urzadzeń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jako absolwent uczelni technicznej umie działać zawodowo</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E2_K04, E2_K05, E2_K06, E2_K07</w:t>
      </w:r>
    </w:p>
    <w:p>
      <w:pPr>
        <w:spacing w:before="20" w:after="190"/>
      </w:pPr>
      <w:r>
        <w:rPr>
          <w:b/>
          <w:bCs/>
        </w:rPr>
        <w:t xml:space="preserve">Powiązane efekty obszarowe: </w:t>
      </w:r>
      <w:r>
        <w:rPr/>
        <w:t xml:space="preserve">T2A_K04, T2A_K05,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2026-08-05T22:48:43+02:00</dcterms:created>
  <dcterms:modified xsi:type="dcterms:W3CDTF">2026-08-05T22:48:43+02:00</dcterms:modified>
</cp:coreProperties>
</file>

<file path=docProps/custom.xml><?xml version="1.0" encoding="utf-8"?>
<Properties xmlns="http://schemas.openxmlformats.org/officeDocument/2006/custom-properties" xmlns:vt="http://schemas.openxmlformats.org/officeDocument/2006/docPropsVTypes"/>
</file>