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15 - udział w wykładach
15 - udział w konsultacjach do projektu
5 - praca własna polegająca na przygotowaniu do kolokwium
3 - konsultacje
15 - praca własna w domu związana z przeglądem literatury, opanowaniem wiedzy dostarczonej na wykładzie oraz wykonaniem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NK473 - Aerodynamika 1 (AERO1)
NK302 - Aerodynamika 2 (AERO2)
NK326 - Dynamika lotu (DYNLOT)
NK472 - Mechanika lotu 1 (MLOT1)
NK457 - Mechanika lotu 2 (MLOT2)
NW123 - Podstawy automatyki i sterowania 1 (PAS1)
NK360 - Podstawy automatyki i sterowania 2 (PAS2)
NK389 - Sterowanie w lotnictwie i kosmonautyce (STELIK)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
1.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z zakresu modelowania i badania właściwości dynamicznych samolotów na potrzeby projektowania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WE2: </w:t>
      </w:r>
    </w:p>
    <w:p>
      <w:pPr/>
      <w:r>
        <w:rPr/>
        <w:t xml:space="preserve">Zna typowe rozwiązania strukturalne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projektowania i analizy praw sterowania w układach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ogólne zasady projektowania układów automatycznego sterownia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określić podstawowe właściwości dynamiczne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strukturę układu automatycznego sterowania samolotem dla typowych konfiguracji płatowców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zaprojektować i  dokonać analizy jakościowej typowego układu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wykorzystać dedykowane oprogramowanie do projektowania i analizy układów automatycznego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2026-10-15T08:17:06+02:00</dcterms:created>
  <dcterms:modified xsi:type="dcterms:W3CDTF">2026-10-15T08:17:06+02:00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