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I</w:t>
      </w:r>
    </w:p>
    <w:p>
      <w:pPr>
        <w:keepNext w:val="1"/>
        <w:spacing w:after="10"/>
      </w:pPr>
      <w:r>
        <w:rPr>
          <w:b/>
          <w:bCs/>
        </w:rPr>
        <w:t xml:space="preserve">Koordynator przedmiotu: </w:t>
      </w:r>
    </w:p>
    <w:p>
      <w:pPr>
        <w:spacing w:before="20" w:after="190"/>
      </w:pPr>
      <w:r>
        <w:rPr/>
        <w:t xml:space="preserve">Prof. nzw. dr hab.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jednowymiarowej analizy matematycznej.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 Kuratowski,  Rachunek rózniczkowy i całkowy, PWN, 2007
M. Gewert, Z.Skoczylas, Analiza matematyczna 1, Oficyna Wydawnicza GIS,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2026-10-13T21:39:36+02:00</dcterms:created>
  <dcterms:modified xsi:type="dcterms:W3CDTF">2026-10-13T21:39:36+02:00</dcterms:modified>
</cp:coreProperties>
</file>

<file path=docProps/custom.xml><?xml version="1.0" encoding="utf-8"?>
<Properties xmlns="http://schemas.openxmlformats.org/officeDocument/2006/custom-properties" xmlns:vt="http://schemas.openxmlformats.org/officeDocument/2006/docPropsVTypes"/>
</file>