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Statyka konstrukcji</w:t>
      </w:r>
    </w:p>
    <w:p>
      <w:pPr>
        <w:keepNext w:val="1"/>
        <w:spacing w:after="10"/>
      </w:pPr>
      <w:r>
        <w:rPr>
          <w:b/>
          <w:bCs/>
        </w:rPr>
        <w:t xml:space="preserve">Koordynator przedmiotu: </w:t>
      </w:r>
    </w:p>
    <w:p>
      <w:pPr>
        <w:spacing w:before="20" w:after="190"/>
      </w:pPr>
      <w:r>
        <w:rPr/>
        <w:t xml:space="preserve">Dr inż. Jan Grudziński, adiunkt</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Konstrukcje nośne - tradycyjna systematyka. Zasady racjonalnego projektowania wytrzymałościowego a metody obliczeniowe. Przykłady rozwiązań MES. Ramy. Konstrukcje węzłów. Przykłady rozwiązań MES. Konstrukcje powierzchniowe. Definicje. Warunki sztywności. Geometryczna zmienność. Statyka ściany. Statyka załomu. Przykłady rozwiązań MES. Powłoki. Elementy teorii. Przykłady rozwiązań MES.</w:t>
      </w:r>
    </w:p>
    <w:p>
      <w:pPr>
        <w:keepNext w:val="1"/>
        <w:spacing w:after="10"/>
      </w:pPr>
      <w:r>
        <w:rPr>
          <w:b/>
          <w:bCs/>
        </w:rPr>
        <w:t xml:space="preserve">Metody oceny: </w:t>
      </w:r>
    </w:p>
    <w:p>
      <w:pPr>
        <w:spacing w:before="20" w:after="190"/>
      </w:pPr>
      <w:r>
        <w:rPr/>
        <w:t xml:space="preserve">3 kolokwia</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2026-10-12T06:54:04+02:00</dcterms:created>
  <dcterms:modified xsi:type="dcterms:W3CDTF">2026-10-12T06:54:04+02:00</dcterms:modified>
</cp:coreProperties>
</file>

<file path=docProps/custom.xml><?xml version="1.0" encoding="utf-8"?>
<Properties xmlns="http://schemas.openxmlformats.org/officeDocument/2006/custom-properties" xmlns:vt="http://schemas.openxmlformats.org/officeDocument/2006/docPropsVTypes"/>
</file>