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Rachunkowość finansowa  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Ewa Komajda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RAFIN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45 h (30h wykład + 15 h ćwiczenia), zapoznanie się z literaturą 35 h, przygotowanie do zaliczenia wykładu 20 h, przygotowanie do zaliczenia ćwiczeń 20 h.
Razem 120 godz.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kontaktowe 45 h (30h wykład + 15 h ćwiczenia).
Razem 45 godz. = 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Zapoznanie się z literaturą 35 h, przygotowanie do zaliczenia wykładu 20 h, przygotowanie do zaliczenia ćwiczeń 20 h.
Razem 75 godz.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Prerekwizyty: kapitał, rynek, jednostka gospodarcza, przedsiębiorstwo, produkcja, handel, usługi, inwestycje, majątek, dług, kredyt, stopa dyskontowa, podatek, przychód, koszt, dochód.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metody bilansowej i opanowanie technik analitycznych oraz syntetycznych dotyczących sytuacji majątkowej i finansowej jednostek gospodarczych poprzez zaznajomienie studentów z funkcjonowaniem systemu kont księgowych oraz procedurami sporządzania sprawozdań finansowych, a w tym: bilansu, rachunku zysków i strat oraz rachunku przepływów pieniężnych.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1. Zagadnienia wstępne rachunkowości. 2. Bilans księgowy. 3. Konta księgowe. 4. Rachunek zysków i strat. 5. Współmierność kosztów i przychodów. 6. Rozrachunki. 7. Zasady wyceny i ewidencji rzeczowych aktywów obrotowych. 8. Amortyzacja i ewidencja środków trwałych oraz wartości niematerialnych i prawnych. 9. Aktywa finansowe i własne papiery wartościowe. 10. Rachunek przepływów pieniężnych. 11. Podatek dochodowy i rozliczenie wyniku finansowego. ĆWICZENIA: 1. Bilans księgowy i operacje bilansowe. 2. Konto księgowe. 3. Rachunek zysków i strat. 4. Ewidencja zapasów, instrumentów finansowych, aktywów trwałych. 5. Rachunek przepływów pieniężnych.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Komajda E., Wprowadzenie do rachunkowości, Oficyna Wydawnicza Politechniki Warszawskiej, Warszawa 2010. [2] Kalwasińska E., Maciejowska D., Rachunkowość finansowa w teorii i praktyce, Wydawnictwo Naukowe Wydziału Zarządzania Uniwersytetu Warszawskiego, Warszawa 2011. [3] Ustawa z dnia 29 września 1994 r. o rachunkowości, tekst jednolity: DzU nr 152/2009, poz. 1223. [4] Gmytrasiewicz M., Karmańska A., Rachunkowość finansowa, Difin, Warszawa 2009. Matuszewicz J., Matuszewicz P., Rachunkowość od podstaw, FINANS-SERVIS, Warszawa 2010. [5] Olchowicz I., Podstawy rachunkowości, tom 1, Difin, Warszawa 2007 [6] Sawicki K., Podstawy rachunkowości, Polskie Wydawnictwo Ekonomiczne, Warszawa 2005.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K_W09: </w:t>
      </w:r>
    </w:p>
    <w:p>
      <w:pPr/>
      <w:r>
        <w:rPr/>
        <w:t xml:space="preserve">Ma uporządkowaną wiedzę w zakresie: rachunkowości jako systemu informacyjnego przedsiębiorstwa; zasad i podstaw prawnych rachunkowości; bilansu majątkowo-kapitałowego przedsiębiorstwa, operacji gospodarczych bilansowych i wynikowych, zasad funkcjonowania kont księgowych i planu kont; przychodów i kosztów w rachunkowości przedsiębiorstw oraz sposobów ustalania wyników finansowych i ich znaczenia w ocenie kondycji finansowej jednostek gospodarczych; sprawozdań finansowych jako źródła informacji 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K_U18: </w:t>
      </w:r>
    </w:p>
    <w:p>
      <w:pPr/>
      <w:r>
        <w:rPr/>
        <w:t xml:space="preserve">Potrafi posługiwać podstawowymi zasadami z zakresu rachunkowości służącymi do prawidłowego funkcjonowania jednostek gospodarczych oraz ich finansowania.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T1A_U05, T1A_U07, T1A_U08, T1A_U09, T1A_U10, T1A_U11, T1A_U12, T1A_U13, T1A_U14, T1A_U15, T1A_U16</w:t>
      </w:r>
    </w:p>
    <w:p>
      <w:pPr>
        <w:keepNext w:val="1"/>
        <w:spacing w:after="10"/>
      </w:pPr>
      <w:r>
        <w:rPr>
          <w:b/>
          <w:bCs/>
        </w:rPr>
        <w:t xml:space="preserve">Efekt K_U02: </w:t>
      </w:r>
    </w:p>
    <w:p>
      <w:pPr/>
      <w:r>
        <w:rPr/>
        <w:t xml:space="preserve">Potrafi pozyskiwać informacje z literatury, baz danych oraz innych źródeł, integrować je, dokonywać interpretacji oraz wyciągać wnioski i formułować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K_K01: </w:t>
      </w:r>
    </w:p>
    <w:p>
      <w:pPr/>
      <w:r>
        <w:rPr/>
        <w:t xml:space="preserve">Rozumie, że w zarządzaniu wiedza i umiejętności szybko stają się przestarzałe.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K_K08: </w:t>
      </w:r>
    </w:p>
    <w:p>
      <w:pPr/>
      <w:r>
        <w:rPr/>
        <w:t xml:space="preserve">Potrafi przekazać informację o osiągnięciach zarządzania i różnych aspektach zawodu w sposób powszechnie zrozumiały.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K_K05: </w:t>
      </w:r>
    </w:p>
    <w:p>
      <w:pPr/>
      <w:r>
        <w:rPr/>
        <w:t xml:space="preserve">Rozumie potrzebę zachowań personalnych i przestrzega zasad etyki, w tym uczciwości.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2026-10-13T07:58:11+02:00</dcterms:created>
  <dcterms:modified xsi:type="dcterms:W3CDTF">2026-10-13T07:58:11+02:00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