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Rachunkowość finansowa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Ewa Komajda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RAFIN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45 h (30h wykład + 15 h ćwiczenia), zapoznanie się z literaturą 35 h, przygotowanie do zaliczenia wykładu 20 h, przygotowanie do zaliczenia ćwiczeń 20 h.
Razem 120 godz.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45 h (30h wykład + 15 h ćwiczenia).
Razem 45 godz.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 literaturą 35 h, przygotowanie do zaliczenia wykładu 20 h, przygotowanie do zaliczenia ćwiczeń 20 h.
Razem 75 godz.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Prerekwizyty: kapitał, rynek, jednostka gospodarcza, przedsiębiorstwo, produkcja, handel, usługi, inwestycje, majątek, dług, kredyt, stopa dyskontowa, podatek, przychód, koszt, dochód.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przez studentów rachunkowości jako międzynarodowego języka biznesu przez opanowanie nowoczesnego prawa bilansowego; nabycie wiedzy w zakresie wyceny składników bilansowych i systemów ewidencyjnych zmierzających do odzwierciedlenia sytuacji majątkowo-kapitałowej i finansowej przedsiębiorstw; praktyczne zaznajomienie studentów z księgowaniem operacji gospodarczych w systemach kont syntetycznych, analitycznych i z procedurami tworzenia bilansu, rachunku zysków i strat oraz rachunku przepływów pieniężnych; uświadomienie wartości poznawczych sprawozdawczości finansowej jednostek gospodarczych w zarządzaniu.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Zagadnienia wstępne rachunkowości.
2. Bilans księgowy.
3. Konta księgowe. 
4. Rachunek zysków i strat.
5. Współmierność kosztów i przychodów.
6. Rozrachunki.
7. Zasady wyceny i ewidencji rzeczowych aktywów obrotowych.
8. Amortyzacja i ewidencja środków trwałych oraz wartości niematerialnych i prawnych.
9. Aktywa finansowe i własne papiery wartościowe.
10. Rachunek przepływów pieniężnych.
11. Podatek dochodowy i rozliczenie wyniku finansowego.
ĆWICZENIA:
1. Bilans księgowy i operacje bilansowe.
2. Konto księgowe.
3. Rachunek zysków i strat. 
4. Ewidencja zapasów, instrumentów finansowych, aktywów trwałych.
5. Rachunek przepływów pieniężnych.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Komajda E., Wprowadzenie do rachunkowości, Oficyna Wydawnicza Politechniki Warszawskiej, Warszawa 2010. 
[2] Kalwasińska E., Maciejowska D., Rachunkowość finansowa w teorii i praktyce, Wydawnictwo Naukowe Wydziału Zarządzania Uniwersytetu Warszawskiego, Warszawa 2011.
[3] Ustawa z dnia 29 września 1994 r. o rachunkowości, tekst jednolity: DzU nr 152/2009, poz. 1223.
[4] Gmytrasiewicz M., Karmańska A., Rachunkowość finansowa, Difin, Warszawa 2009. 
Matuszewicz J., Matuszewicz P., Rachunkowość od podstaw, FINANS-SERVIS, Warszawa 2010.
[5] Olchowicz I., Podstawy rachunkowości, tom 1, Difin, Warszawa 2007
[6] Sawicki K., Podstawy rachunkowości, Polskie Wydawnictwo Ekonomiczne,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K_W15: </w:t>
      </w:r>
    </w:p>
    <w:p>
      <w:pPr/>
      <w:r>
        <w:rPr/>
        <w:t xml:space="preserve">Ma usystematyzowaną wiedzę w zakresie podstaw i zasad prawnych rachunkowości, majątku, kapitału przedsiębiorstwa, bilansu, przychodów, kosztów, wyniku finansowego, rachunku zysków i strat, operacji gospodarczych bilansowych i wynikowych, zasad funkcjonowania kont księgowych, planu kont, ewidencji kapitałów, środków pieniężnych, papierów wartościowych, rozrachunków, majątku trwałego, zapasów, wyceny składników majątkowych, metody ustalania wyniku finansowego, sprawozdawczości finansowej.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S1A_W03, S1A_W04, S1A_W05, S1A_W06, S1A_W07, S1A_W08, S1A_W09, S1A_W10, 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K_U23: </w:t>
      </w:r>
    </w:p>
    <w:p>
      <w:pPr/>
      <w:r>
        <w:rPr/>
        <w:t xml:space="preserve">Potrafi wykorzystać nabytą wiedzę z zakresu rachunkowości finansowej w podejmowaniu decyzji zarządczych,  potrafi posługiwać się parametrami rachunkowości finansowej przy analizie i planowaniu finansowym oraz w pozyskiwaniu funduszy przez przedsiębiorstwa.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S1A_U04, S1A_U05, S1A_U06, S1A_U07, S1A_U08, S1A_U09, S1A_U10, S1A_U11</w:t>
      </w:r>
    </w:p>
    <w:p>
      <w:pPr>
        <w:keepNext w:val="1"/>
        <w:spacing w:after="10"/>
      </w:pPr>
      <w:r>
        <w:rPr>
          <w:b/>
          <w:bCs/>
        </w:rPr>
        <w:t xml:space="preserve">Efekt K_U18: </w:t>
      </w:r>
    </w:p>
    <w:p>
      <w:pPr/>
      <w:r>
        <w:rPr/>
        <w:t xml:space="preserve">Potrafi posługiwać się zasadami i instrumentami zarządzania, podstawami teoretycznymi, formami oraz ogólnymi zasadami funkcjonowania organizacji.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S1A_U04, S1A_U05, S1A_U06, S1A_U07, S1A_U08, S1A_U09, S1A_U10, S1A_U11</w:t>
      </w:r>
    </w:p>
    <w:p>
      <w:pPr>
        <w:keepNext w:val="1"/>
        <w:spacing w:after="10"/>
      </w:pPr>
      <w:r>
        <w:rPr>
          <w:b/>
          <w:bCs/>
        </w:rPr>
        <w:t xml:space="preserve">Efekt K_U19: </w:t>
      </w:r>
    </w:p>
    <w:p>
      <w:pPr/>
      <w:r>
        <w:rPr/>
        <w:t xml:space="preserve">Potrafi wykorzystać podstawowe kategorie ekonomiczne oraz przepisów prawa do zarządzania organizacją.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K_K02: </w:t>
      </w:r>
    </w:p>
    <w:p>
      <w:pPr/>
      <w:r>
        <w:rPr/>
        <w:t xml:space="preserve">Rozumie, że w zarządzaniu wiedza i umiejętności szybko stają się przestarzałe.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S1A_K06</w:t>
      </w:r>
    </w:p>
    <w:p>
      <w:pPr>
        <w:keepNext w:val="1"/>
        <w:spacing w:after="10"/>
      </w:pPr>
      <w:r>
        <w:rPr>
          <w:b/>
          <w:bCs/>
        </w:rPr>
        <w:t xml:space="preserve">Efekt K_K05: </w:t>
      </w:r>
    </w:p>
    <w:p>
      <w:pPr/>
      <w:r>
        <w:rPr/>
        <w:t xml:space="preserve">Rozumie potrzebę zachowań personalnych i przestrzega zasad etyki, w tym uczciwości.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K_K08: </w:t>
      </w:r>
    </w:p>
    <w:p>
      <w:pPr/>
      <w:r>
        <w:rPr/>
        <w:t xml:space="preserve">Potrafi przekazać informację o osiągnięciach zarządzania i różnych aspektach zawodu w sposób powszechnie zrozumiały.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2026-10-15T01:59:30+02:00</dcterms:created>
  <dcterms:modified xsi:type="dcterms:W3CDTF">2026-10-15T01:59:30+02:00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