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 kierownicza</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GRAKI</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gra kierownicza, gra menedżerska, zarządzanie przedsiębiorstwem, zarządzanie produkcją, marketing, polityka cenowa, jakość, analiza finansowa przedsiębiorstwa, lokaty finansowe, finanse przedsiębiorstwa, działalność gospodarcza, negocjacje, ubezpieczenia, kredyty, wywiad gospodarczy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Gra kierownicza służy wszechstronnej edukacji menedżerskiej poprzez symulację procesów zarządzania przedsiębiorstwem produkcyjno-handlowym. Uczestnicy gry, tworzący zarządy przedsiębiorstw, podejmują strategiczne, taktyczne i operacyjne decyzje, dotyczące działalności gospodarczej na konkurencyjnym rynku. Po pierwszych zajęciach, podczas których formują się zarządy przedsiębiorstw, odbywa się cykl dwunastu okresów decyzyjnych. Na zajęciach 14-15 odbywa się prezentacja wyników działalności.</w:t>
      </w:r>
    </w:p>
    <w:p>
      <w:pPr>
        <w:keepNext w:val="1"/>
        <w:spacing w:after="10"/>
      </w:pPr>
      <w:r>
        <w:rPr>
          <w:b/>
          <w:bCs/>
        </w:rPr>
        <w:t xml:space="preserve">Treści kształcenia: </w:t>
      </w:r>
    </w:p>
    <w:p>
      <w:pPr>
        <w:spacing w:before="20" w:after="190"/>
      </w:pPr>
      <w:r>
        <w:rPr/>
        <w:t xml:space="preserve"> LABORATORIUM
1. Wprowadzenie do gry.
2. Okres decyzyjny 1.
3. Okres decyzyjny 2.
4. Okres decyzyjny 3.
5. Okres decyzyjny 4.
6. Okres decyzyjny 5.
7. Okres decyzyjny 6.
8. Okres decyzyjny 7.
9. Okres decyzyjny 8.
10. Okres decyzyjny 9.
11. Okres decyzyjny 10.
12. Okres decyzyjny 11.
13. Okres decyzyjny 12.
14. Analiza wyników działalności.
15. Prezentacja "raportów rocznych".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Gąsiorkiewicz A.: Materiały dydaktyczne do przedmiotu - Gra kierownicza
2. Gąsiorkiewicz L.: Analiza ekonomiczno-finansowa przedsiębiorstw, WPW 2002
3. Kotler P.: Marketing, Gebethner i Ska,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2025-12-27T01:35:57+01:00</dcterms:created>
  <dcterms:modified xsi:type="dcterms:W3CDTF">2025-12-27T01:35:57+01:00</dcterms:modified>
</cp:coreProperties>
</file>

<file path=docProps/custom.xml><?xml version="1.0" encoding="utf-8"?>
<Properties xmlns="http://schemas.openxmlformats.org/officeDocument/2006/custom-properties" xmlns:vt="http://schemas.openxmlformats.org/officeDocument/2006/docPropsVTypes"/>
</file>