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Gospodarka wodna, Gospodarka wodna i ściekowa w zakładach przemysłowych, Sieci i instalacje sanitarne, Gospodarka odpadami, Ochrona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w:t>
      </w:r>
    </w:p>
    <w:p>
      <w:pPr>
        <w:keepNext w:val="1"/>
        <w:spacing w:after="10"/>
      </w:pPr>
      <w:r>
        <w:rPr>
          <w:b/>
          <w:bCs/>
        </w:rPr>
        <w:t xml:space="preserve">Metody oceny: </w:t>
      </w:r>
    </w:p>
    <w:p>
      <w:pPr>
        <w:spacing w:before="20" w:after="190"/>
      </w:pPr>
      <w:r>
        <w:rPr/>
        <w:t xml:space="preserve">Średnia ważona: 40 % oceny z wykładu i 60 % oceny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2026-10-13T04:56:52+02:00</dcterms:created>
  <dcterms:modified xsi:type="dcterms:W3CDTF">2026-10-13T04:56:52+02:00</dcterms:modified>
</cp:coreProperties>
</file>

<file path=docProps/custom.xml><?xml version="1.0" encoding="utf-8"?>
<Properties xmlns="http://schemas.openxmlformats.org/officeDocument/2006/custom-properties" xmlns:vt="http://schemas.openxmlformats.org/officeDocument/2006/docPropsVTypes"/>
</file>