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Ogrzewnuictwo,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Podstawy automatyki procesów z semestru V.</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Wymagania dotyczące właściwości statycznych i dynamicznych procesów ciepłowniczych, ogrzewczych i wentylacyjnych.  Regulacja systemów centralnego zaopatrzenia w ciepło – ciepłownie i elektrociepłownie.  Schematy technologiczne układów regulacji procesów COW; węzły ciepłownicze centralnego ogrzewania i ciepłej wody użytkowej, obiekty z własnymi źródłami ciepła.
Charakterystyki statyczne elementów regulacji; elementy nastawcze, obiekty regulacji.  Charakterystyki statyczne układów obiekt – nastawnik, określenie współczynników wzmocnienia, wyznaczanie charakterystyk regulacyjnych.
Zasady projektowania właściwości statycznych układów regulacji w COW.  Uproszczone charakterystyki statyczne obiektów cieplnych.  Zasady obliczania elementów nastawczych zapewniające odpowiednią jakość regulacji.  
Charakterystyki dynamiczne wybranych obiektów regulacji, określenie parametrów wymaganych do projektowania układów regulacji.  Zapewnienie odpowiednich właściwości dynamicznych układów regulacji.  
Algorytmy regulacji procesów COW, parametry wpływające na przebieg procesu regulacji.
Komputerowe projektowanie układów sterowania, programowanie sterowników cyfrowych dla potrzeb COW.
Komputerowe układy sterowania i nadzoru, systemy BMS i BEMS w COW.
Obliczanie elementów nastawczych dla zadanych warunków hydraulicznych.  Obliczanie charakterystyk statycznych obiekt–nastawnik dla wybranych procesów COW.
Obliczanie charakterystyk układów regulacji, wzmocnienie układu. Określanie stabilności, wzmocnienie krytyczne, wpływ zmiennych parametrów cieplnych na stabilność układu.
Zasady projektowania układów regulacji z wykorzystaniem kryteriów jakości.
Projektowanie układów regulacji procesów COW; węzły ciepłownicze centralnego ogrzewania i ciepłej wody użytkowej, obiekty z własnymi źródłami ciepła
</w:t>
      </w:r>
    </w:p>
    <w:p>
      <w:pPr>
        <w:keepNext w:val="1"/>
        <w:spacing w:after="10"/>
      </w:pPr>
      <w:r>
        <w:rPr>
          <w:b/>
          <w:bCs/>
        </w:rPr>
        <w:t xml:space="preserve">Metody oceny: </w:t>
      </w:r>
    </w:p>
    <w:p>
      <w:pPr>
        <w:spacing w:before="20" w:after="190"/>
      </w:pPr>
      <w:r>
        <w:rPr/>
        <w:t xml:space="preserve">Ocena zintegrowana = 0,6*Ow+0,4*Op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2000.
2. ASHRAE 2004 Handbook.Fundamentals, American Society of Heating, Refrigerating and Air Conditioning Engineers, Inc.
3. Poradnik Recknagel Sprenger.: Ogrzewanie i klimatyzacja, EWFE, Gdańsk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2026-10-14T00:48:37+02:00</dcterms:created>
  <dcterms:modified xsi:type="dcterms:W3CDTF">2026-10-14T00:48:37+02:00</dcterms:modified>
</cp:coreProperties>
</file>

<file path=docProps/custom.xml><?xml version="1.0" encoding="utf-8"?>
<Properties xmlns="http://schemas.openxmlformats.org/officeDocument/2006/custom-properties" xmlns:vt="http://schemas.openxmlformats.org/officeDocument/2006/docPropsVTypes"/>
</file>