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 </w:t>
      </w:r>
    </w:p>
    <w:p>
      <w:pPr>
        <w:keepNext w:val="1"/>
        <w:spacing w:after="10"/>
      </w:pPr>
      <w:r>
        <w:rPr>
          <w:b/>
          <w:bCs/>
        </w:rPr>
        <w:t xml:space="preserve">Koordynator przedmiotu: </w:t>
      </w:r>
    </w:p>
    <w:p>
      <w:pPr>
        <w:spacing w:before="20" w:after="190"/>
      </w:pPr>
      <w:r>
        <w:rPr/>
        <w:t xml:space="preserve">prof. dr hab. inż. Elżbieta Malinowska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
Laboratory will introduce students to construction and utilization of sensors and biosensors with different transducers: optical and electrochemical.
</w:t>
      </w:r>
    </w:p>
    <w:p>
      <w:pPr>
        <w:keepNext w:val="1"/>
        <w:spacing w:after="10"/>
      </w:pPr>
      <w:r>
        <w:rPr>
          <w:b/>
          <w:bCs/>
        </w:rPr>
        <w:t xml:space="preserve">Metody oceny: </w:t>
      </w:r>
    </w:p>
    <w:p>
      <w:pPr>
        <w:spacing w:before="20" w:after="190"/>
      </w:pPr>
      <w:r>
        <w:rPr/>
        <w:t xml:space="preserve">Written examination or presentation and reports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1. Z. Brzózka, W. Wróblewski, Sensory chemiczne, Oficyna Wydawnicza Politechniki Warszawskiej, 1998.
2.	U.E. Spichiger-Keller, Chemical Sensors and Biosensors for Medical and Biological Applications, Wiley-VCH, 1998.
3.	B. Eggins, Biosensors, John Wiley &amp; Sons,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2026-08-18T17:11:10+02:00</dcterms:created>
  <dcterms:modified xsi:type="dcterms:W3CDTF">2026-08-18T17:11:10+02:00</dcterms:modified>
</cp:coreProperties>
</file>

<file path=docProps/custom.xml><?xml version="1.0" encoding="utf-8"?>
<Properties xmlns="http://schemas.openxmlformats.org/officeDocument/2006/custom-properties" xmlns:vt="http://schemas.openxmlformats.org/officeDocument/2006/docPropsVTypes"/>
</file>