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ciała stałego</w:t>
      </w:r>
    </w:p>
    <w:p>
      <w:pPr>
        <w:keepNext w:val="1"/>
        <w:spacing w:after="10"/>
      </w:pPr>
      <w:r>
        <w:rPr>
          <w:b/>
          <w:bCs/>
        </w:rPr>
        <w:t xml:space="preserve">Koordynator przedmiotu: </w:t>
      </w:r>
    </w:p>
    <w:p>
      <w:pPr>
        <w:spacing w:before="20" w:after="190"/>
      </w:pPr>
      <w:r>
        <w:rPr/>
        <w:t xml:space="preserve">prof. dr hab. inż. Janusz Płocharski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Ciała Stałego</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Wybrane właściwości fazy stałej w powiązaniu z jej reaktywnością. Zależność między strukturą i właściwościami oraz mechanizmy wybranych reakcji z udziałem fazy stałej. Defekty punktowe w kryształach i oddziaływania między nimi, powierzchnia ciała stałego, transport masy, spiekanie, utlenianie metali oraz wybrane właściwości materiałów nanometrycznych. Sposoby wytwarzania struktur warstwowych oraz metody otrzymywania materiałów monokrystalicznych, które to procesy są szeroko wykorzystywane w technologii współczesnych podzespołów elektronicznych, mate-riałów do konwersji energii elektrycznej a także tak zwanych „materiałów inteligentnych”.</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J. Dereń, J. Haber, R. Pampuch, Chemia ciała stałego, PWN, Warszawa 1975.
2.	S. Mrowiec, Kinetyka i mechanizm utleniania metali, Wyd. Śląsk, 1982.
3.	T. Fukuda, H. J. Scheel red., Crystal Growth Technology, John Wiley and Sons, 2003.
4.	D.L. Smith red., Thin Film Deposition: Principles and Practice, McGraw Hill, 1995.
Literatura uzupełniająca:
1.	H. Schmalzried, Reakcje w stanie stałym, PWN, Warszawa 1978.
2.	R. Pampuch, Zarys nauki o materiałach, PWN, Warszawa 1977.
3.	N.B. Hannay red., Treatise on Solid State Chemistry (tom 4: Reactivity of Solids), Plenum Press, 1974.
4.	S. Mrowec, Defekty struktury i dyfuzja w kryształach jonowych, PWN, Warszawa 1974.
5.	F W. Bach, K. Möhwald, A. Laarmann, T. Wenz, Modern Surface Technology, Wiley VCH, 2006.
6.	J.F. O'Hanlon, A User's Guide to Vacuum Technology,
Wiley IEEE,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2026-10-13T19:55:09+02:00</dcterms:created>
  <dcterms:modified xsi:type="dcterms:W3CDTF">2026-10-13T19:55:09+02:00</dcterms:modified>
</cp:coreProperties>
</file>

<file path=docProps/custom.xml><?xml version="1.0" encoding="utf-8"?>
<Properties xmlns="http://schemas.openxmlformats.org/officeDocument/2006/custom-properties" xmlns:vt="http://schemas.openxmlformats.org/officeDocument/2006/docPropsVTypes"/>
</file>