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dr hab. inż.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a)	z matryc ciekłych (sorpcja na stałym sorbencie, mikrosorpcja na stałym sorbencie, metody Head-Space - TLHS, Purge &amp; Trap, perwaporacja, biosorpcja).
b)	z matryc stałych (Soxhlet, ekstrakcja płynem w stanie nadkrytycznym, ekstrakcja ultradźwiękowa, perwaporacja mikrofalowa, ekstrakcja sekwencyjna).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Kolokwia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efekty kierunkowe: </w:t>
      </w:r>
      <w:r>
        <w:rPr/>
        <w:t xml:space="preserve">K_U01, K_U05, K_U10</w:t>
      </w:r>
    </w:p>
    <w:p>
      <w:pPr>
        <w:spacing w:before="20" w:after="190"/>
      </w:pPr>
      <w:r>
        <w:rPr>
          <w:b/>
          <w:bCs/>
        </w:rPr>
        <w:t xml:space="preserve">Powiązane efekty obszarowe: </w:t>
      </w:r>
      <w:r>
        <w:rPr/>
        <w:t xml:space="preserve">T1A_U01, T1A_U05, T2A_U03, T2A_U04, T2A_U08, T2A_U09, T2A_U10, T2A_U11</w:t>
      </w:r>
    </w:p>
    <w:p>
      <w:pPr>
        <w:keepNext w:val="1"/>
        <w:spacing w:after="10"/>
      </w:pPr>
      <w:r>
        <w:rPr>
          <w:b/>
          <w:bCs/>
        </w:rPr>
        <w:t xml:space="preserve">Efekt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2026-10-12T23:21:20+02:00</dcterms:created>
  <dcterms:modified xsi:type="dcterms:W3CDTF">2026-10-12T23:21:20+02:00</dcterms:modified>
</cp:coreProperties>
</file>

<file path=docProps/custom.xml><?xml version="1.0" encoding="utf-8"?>
<Properties xmlns="http://schemas.openxmlformats.org/officeDocument/2006/custom-properties" xmlns:vt="http://schemas.openxmlformats.org/officeDocument/2006/docPropsVTypes"/>
</file>