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specjalnościowe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inż./Janusz Zieliński/profesor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- 60, zapoznanie ze wskazaną literaturą - 30, napisanie sprawozdania - 35;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- 60 h;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- 60 h, zapoznanie ze wskazaną literaturą - 30 h, napisanie sprawozdania - 35 h; Razem - 125 h = 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praktycznego zapoznania z aparaturą i sprzętem wykorzystywanym do prac naukowo-badawczych prowadzonych w zakładzie tworzyw sztucznych i wykonanie badań właściwości wskazanego produktu. Rozpoznanie literaturowe wskazanych zagadnień i zapoznanie się z metodyką badawczą.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L1- Dobór, na podstawie studiów literaturowych i dostępnej bazy aparaturowej, metodyki badawczej w zakresie problematyki pracy dyplomowej. L2-Praktyczne zapoznanie się z wytypowanymi technikami laboratoryjnymi. L3- Wykonanie wskazanych, w indywidualnym programie, syntez oraz badań właściwości otrzymywanego produktu. L4- Wycieczki programowe do zakładów przemysłowych w celu zapoznania się z nowoczesnymi technologiami chemicznymi.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zadań badawczych zgodnie z programem indywidualnie ustalonym z opiekunem tematu oraz uczestnictwo w wycieczkach programowych. Zaliczenie końcowe następuje na podstawie pisemnego sprawozdania uwzględniającego wszystkie elementy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literatury dostosowany do programów badawczych dla każdego studenta.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teoretyczną w zakresie zagadnień realizowanych w ramach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Ma wiedzę w zakresie aparatury i metod oznaczania właściwości produktów stanowiących przedmiot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właściwie dobranych źródeł, także w języku obcym  i przedstawić w formie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planować i przeprowadzić eksperymenty, interpretować  uzyskane wyniki i wyciagać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U12_02: </w:t>
      </w:r>
    </w:p>
    <w:p>
      <w:pPr/>
      <w:r>
        <w:rPr/>
        <w:t xml:space="preserve">Potrafi dokonać oceny jakości produktów otrzymanych do badań z wykorzystaniem nowoczesnych technik analitycznych.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i zna możliwości ciągłego dokształcania się (studia trzeciego stopnia, studia podyplomowe, kursy), podnoszenia kompetencji zawodowych, osobistych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roli społecznej absolwenta uczelni technicznej, a zwłaszcza rozumie potrzebę formułowania i przekazywania społeczeństwu - m.in. poprzez środki masowego przekazu - informacji i opinii dotyczących osiągnięć technologii chemicznej i innych aspektów działalności inżyniera; podejmuje starania, aby przekazać takie informacje i opinie w sposób powszechnie zrozumiały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2026-08-01T20:30:57+02:00</dcterms:created>
  <dcterms:modified xsi:type="dcterms:W3CDTF">2026-08-01T20:30:57+02:00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