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T1A_W01, T1A_W07, T1P_W06: </w:t>
      </w:r>
    </w:p>
    <w:p>
      <w:pPr/>
      <w:r>
        <w:rPr/>
        <w:t xml:space="preserve">Posiada praktyczną wiedzę w zakresie projektowania i obsługi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T1A_U07, T1A_U09, T1A_U13: </w:t>
      </w:r>
    </w:p>
    <w:p>
      <w:pPr/>
      <w:r>
        <w:rPr/>
        <w:t xml:space="preserve">Praktyczne umiejętności w zakresie projektowania prostych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T1A_K01, T1A_K02, T1P_K02: </w:t>
      </w:r>
    </w:p>
    <w:p>
      <w:pPr/>
      <w:r>
        <w:rPr/>
        <w:t xml:space="preserve">Ma świadomość konieczności automatyzacji jako warunku rozwoju gospodarczego i cywilizacyjnego.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2026-08-02T03:24:40+02:00</dcterms:created>
  <dcterms:modified xsi:type="dcterms:W3CDTF">2026-08-02T03:24:40+02:00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