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105 h; w tym
a. obecność na wykładach – 45 h
b. obecność na ćwiczeniach – 30 h
c. obecność na laboratoriach – 30 h
2. przygotowanie do zajęć laboratoryjnych – 50 h
3. zapoznanie się z literaturą, przygotowanie do ćwiczeń – 10 h
4. konsultacje – 5 h
5. przygotowanie do egzaminu i obecność na egzaminie – 15 h
Razem nakład pracy studenta 185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30 h
3. obecność na laboratoriach – 30 h
4. konsultacje  – 5 h
Razem: 110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modelowania geometrycznego, w szczególności z zaawansowanymi zagadnieniami modelowania krzywych i powierzchni dla  potrzeb projektowania systemów CAD/CAM. W ramach przedmiotu studenci poznają metody i algorytmy projektowania i eksploatacji geometrycznych baz danych dla systemów projektowania części maszyn i urządzeń. </w:t>
      </w:r>
    </w:p>
    <w:p>
      <w:pPr>
        <w:keepNext w:val="1"/>
        <w:spacing w:after="10"/>
      </w:pPr>
      <w:r>
        <w:rPr>
          <w:b/>
          <w:bCs/>
        </w:rPr>
        <w:t xml:space="preserve">Treści kształcenia: </w:t>
      </w:r>
    </w:p>
    <w:p>
      <w:pPr>
        <w:spacing w:before="20" w:after="190"/>
      </w:pPr>
      <w:r>
        <w:rPr/>
        <w:t xml:space="preserve">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trójwymiarowych modeli części maszyn i urządzeń.</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geometrycznej bazy danych CAD</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CC_U03, CC_U05, CC_U06</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Posiada umiejętność selekcji i krytycznej interpretacji oraz praktycznego wykorzystania informacji technicznej dotyczącej geometrycznych baz danych.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CC_U05, CC_U06, CC_U07, CC_U09, CC_U21</w:t>
      </w:r>
    </w:p>
    <w:p>
      <w:pPr>
        <w:spacing w:before="20" w:after="190"/>
      </w:pPr>
      <w:r>
        <w:rPr>
          <w:b/>
          <w:bCs/>
        </w:rPr>
        <w:t xml:space="preserve">Powiązane efekty obszarowe: </w:t>
      </w:r>
      <w:r>
        <w:rPr/>
        <w:t xml:space="preserve">, , , , , </w:t>
      </w:r>
    </w:p>
    <w:p>
      <w:pPr>
        <w:keepNext w:val="1"/>
        <w:spacing w:after="10"/>
      </w:pPr>
      <w:r>
        <w:rPr>
          <w:b/>
          <w:bCs/>
        </w:rPr>
        <w:t xml:space="preserve">Efekt U2_03  : </w:t>
      </w:r>
    </w:p>
    <w:p>
      <w:pPr/>
      <w:r>
        <w:rPr/>
        <w:t xml:space="preserve">Potrafi zaprojektować i zaimplementować efektywne algorytmy stosowane w bazach danych do projektowania części maszyn przy użyciu bibliotek numerycznych i możliwości najnowszych kart graficznych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CC_U05, CC_U09, CC_U11, CC_U12, CC_U16, CC_U20</w:t>
      </w:r>
    </w:p>
    <w:p>
      <w:pPr>
        <w:spacing w:before="20" w:after="190"/>
      </w:pPr>
      <w:r>
        <w:rPr>
          <w:b/>
          <w:bCs/>
        </w:rPr>
        <w:t xml:space="preserve">Powiązane efekty obszarowe: </w:t>
      </w:r>
      <w:r>
        <w:rPr/>
        <w:t xml:space="preserve">, , ,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Potrafi posługiwać się językiem angielskim w stopniu umożliwiającym bezproblemową komunikację w zakresie zagadnień modelowania geometrycznego</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2026-08-03T01:11:06+02:00</dcterms:created>
  <dcterms:modified xsi:type="dcterms:W3CDTF">2026-08-03T01:11:06+02:00</dcterms:modified>
</cp:coreProperties>
</file>

<file path=docProps/custom.xml><?xml version="1.0" encoding="utf-8"?>
<Properties xmlns="http://schemas.openxmlformats.org/officeDocument/2006/custom-properties" xmlns:vt="http://schemas.openxmlformats.org/officeDocument/2006/docPropsVTypes"/>
</file>