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30h, przygotowanie do zaliczenia przedmiotu 30h.Razem 90h=3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30h, przygotowanie do zaliczenia przedmiotu 30h.Razem 60h=2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
Ocena końcowa jest średnią dwóch ocen. Obydwa elementy muszą być zaliczone na ocenę conajmniej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ASTRI_W01: </w:t>
      </w:r>
    </w:p>
    <w:p>
      <w:pPr/>
      <w:r>
        <w:rPr/>
        <w:t xml:space="preserve">Ma usystematyzowaną wiedzę z zakresu, rodzaju innowacji, kierunków rozwoju innowacji, wpływu innowacji na rynek i procesy biznesowe, wpływu makro i mikro otoczenia na rozwój innowacji, innowacji w sferze zarządzania, innowacji produktu i innowacji procesowej.</w:t>
      </w:r>
    </w:p>
    <w:p>
      <w:pPr>
        <w:spacing w:before="60"/>
      </w:pPr>
      <w:r>
        <w:rPr/>
        <w:t xml:space="preserve">Weryfikacja: </w:t>
      </w:r>
    </w:p>
    <w:p>
      <w:pPr>
        <w:spacing w:before="20" w:after="190"/>
      </w:pPr>
      <w:r>
        <w:rPr/>
        <w:t xml:space="preserve">Zaliczenie pisemne przedmiotu,wykonanie i obrona ćwiczeń/projektu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ASTRI_U01: </w:t>
      </w:r>
    </w:p>
    <w:p>
      <w:pPr/>
      <w:r>
        <w:rPr/>
        <w:t xml:space="preserve">potrafią pozyskiwać informacje z literatury, baz danych oraz innych źródeł, integrować je, dokonywać interpretacji oraz wyciągać wnioski i formułować opije, potrafi ocenić przydatność rutynowych metod i narzędzi służących do rozwiązania prostego zadania menadżerskiego, typowego dla studiowanego kierunku studiów oraz wybrać i zastosować właściwą metodę i narzędzia, </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ASTRI_K01: </w:t>
      </w:r>
    </w:p>
    <w:p>
      <w:pPr/>
      <w:r>
        <w:rPr/>
        <w:t xml:space="preserve">ma doświadczenia z pracą zespołową, potrafi wykazać się skutecznością w realizacji projektów o charakterze społecznym, naukowo badawczym lub programistyczno wdrożeniowym, wchodzącym w skład studiów lub realizowanych poza studiami, 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przedmiotu,wykonanie i obrona ćwiczeń.projektu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2026-08-07T06:39:32+02:00</dcterms:created>
  <dcterms:modified xsi:type="dcterms:W3CDTF">2026-08-07T06:39:32+02:00</dcterms:modified>
</cp:coreProperties>
</file>

<file path=docProps/custom.xml><?xml version="1.0" encoding="utf-8"?>
<Properties xmlns="http://schemas.openxmlformats.org/officeDocument/2006/custom-properties" xmlns:vt="http://schemas.openxmlformats.org/officeDocument/2006/docPropsVTypes"/>
</file>