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uciążkliwe w środowisku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zagrożeniami czynnikami niebezpiecznymi, szkodliwymi i uciążliwymi.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zagadnień.
W2 – Wymogi dla obiektów, pomieszczeń i stanowisk pracy.
W3 – Praca w kontakcie z substancjami i preparatami chemicznymi.
W4 – Profilaktyka lekarska oraz szczepienia ochronne.
W5 – Szkodliwe czynniki dla zdrowia (fizyczne, chemiczne, biologiczne).
W6 – Czynniki rakotwórcze i mutagenne.
W7 – Badania i pomiary czynników szkodliwych dla zdrowia na stanowiskach pracy.
W8 – Narażenie zawodowe jako element oceny ryzyka zawodowego.
W9 – Procedura postępowania w przypadku chorób zawodowych.
W10 – Podsumowanie.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Rączkowski B., BHP w praktyce, ODDK, Gdańsk 2010. 
3. Uzarczyk A., Czynniki szkodliwe i uciążliwe w środowisku pracy, ODDK, Gdańsk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[T2A_W03]: </w:t>
      </w:r>
    </w:p>
    <w:p>
      <w:pPr/>
      <w:r>
        <w:rPr/>
        <w:t xml:space="preserve">ma uporządkowaną, podbudowaną teoretycznie wiedzę ogólną obejmującą kluczowe zagadnienia charakteryzujące studiowaną dyscyplinę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[T2A_U13]: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[T2A_K04]: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2026-10-13T16:30:06+02:00</dcterms:created>
  <dcterms:modified xsi:type="dcterms:W3CDTF">2026-10-13T16:30:06+02:00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