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20 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=1pkt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ISO/IEC 15408:2008 (www.commoncriteriaportal.org)
COBIT 
Ustawa o Ochronie Danych Osobowych 
Ustawa o Ochronie Informacji Niejawnej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BESIN_W01: </w:t>
      </w:r>
    </w:p>
    <w:p>
      <w:pPr/>
      <w:r>
        <w:rPr/>
        <w:t xml:space="preserve">ma usystematyzowaną wiedzę w zakresie współcześnie stosowanych zaleceń i wymagań dotyczącymi bezpieczeństwa systemów informatycznych, zaleceń i rozwiązań technicznych dotyczących bezpieczeństwa informacji w systemach informatycznych; ze szczególnym uwzględnieniem właściwego zarządzania konfiguracją i zmianami,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BESIN_U01: </w:t>
      </w:r>
    </w:p>
    <w:p>
      <w:pPr/>
      <w:r>
        <w:rPr/>
        <w:t xml:space="preserve">potrafi wykorzystać umiejętności do rozpoznawanie zagrożeń dla bezpieczeństwa informacji, śledzenie i reagowanie na zaobserwowane podatności oprogramowania i systemów informatycznych.; oceny rozwiązań z zakresu bezpieczeństwa informacji w tym zarządzania konfiguracją, zmianami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krótkie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BESIN_K01: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i obserwacje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2026-06-18T19:24:18+02:00</dcterms:created>
  <dcterms:modified xsi:type="dcterms:W3CDTF">2026-06-18T19:24:18+02:00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