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ryzyko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[K_W26]: </w:t>
      </w:r>
    </w:p>
    <w:p>
      <w:pPr/>
      <w:r>
        <w:rPr/>
        <w:t xml:space="preserve">Ma uporządkowaną wiedzę z zakresu bezpieczeństwa fizycznego, osobowego oraz przedstawienie zagadnień prawnych, bezpieczeństwa pracy i ryzyka zawodowo.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[k_U34]: </w:t>
      </w:r>
    </w:p>
    <w:p>
      <w:pPr/>
      <w:r>
        <w:rPr/>
        <w:t xml:space="preserve">potrafi wykorzystać umiejętności w zakresie organizacji stanowisk pracy oraz aktualnie obowiązujące regulacje prawne bezpieczeństwa i higieny pracy w zespołowej w realizacji konkretnych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2026-08-01T07:10:56+02:00</dcterms:created>
  <dcterms:modified xsi:type="dcterms:W3CDTF">2026-08-01T07:10:56+02:00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