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-WIZP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przygotowanie do zajęć 10h przygotowanie raportu z badań 30h Razem 60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informacja patentowa, bazy wiedzy, własność intelektualna, własność przemysłowa, ochrona wiedzy 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z zasadami organizacji i zarządzania w zakresie tworzenia, ochrony i obrotu własnością intelektualną w przedsiębiorstwie przemysłowym. Poznanie polityk i strategii ochrony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-Obrót prawami wyłącznymi (cesje, licencje).
- Prawa twórców (w tym wynagradzanie).
- Naruszenia praw z własności intelektualnej i sankcje z tytułu naruszeń.
- Polityki i strategie zarządzania własnością intelektualna.
- Organizacja własności intelektualnej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(K_W39) T2A_W11: </w:t>
      </w:r>
    </w:p>
    <w:p>
      <w:pPr/>
      <w:r>
        <w:rPr/>
        <w:t xml:space="preserve">Ma pogłębioną i usystematyzowaną wiedzę z zakresu zarządzania własnością intelektualną.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Potrafi współpracować przy organizowaniu procesów związanych z zarządzaniem własnością intelektualną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2026-07-11T07:33:21+02:00</dcterms:created>
  <dcterms:modified xsi:type="dcterms:W3CDTF">2026-07-11T07:33:21+02:00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