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20godzin czas poza 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razem 30pkt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 godzin czas poza uczelnią na prezygotowanie do zaliczenia przedmiotu 10 godzin razem 30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krótkie zadania projektowe na zajęciach wykładowych a także znajdowanie praktycznych problemów jakościowych w oparciu o analizę stron internetowych.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ZAIAK_W01: </w:t>
      </w:r>
    </w:p>
    <w:p>
      <w:pPr/>
      <w:r>
        <w:rPr/>
        <w:t xml:space="preserve">Ma uporządkowaną wiedzę z zakresu ewolucji w podejściu do problematyki jakości, prekursorów i założenia koncepcji TQM (Total Quality Management), modeli doskonałości organizacji, problematyki normalizacji, certyfikacji i integracji systemów zarządzania, normalizacji, certyfikacja i integracja systemów zarządzania jakością, ochroną środowiska, bezpieczeństwem pracy i bezpieczeństwem informacji, Metod i narzędzi doskonalenia jakości. Koszty jakości. Wybrane branżowe systemy i standardy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ZAIAK_U01: </w:t>
      </w:r>
    </w:p>
    <w:p>
      <w:pPr/>
      <w:r>
        <w:rPr/>
        <w:t xml:space="preserve">potrafi posługiwać się zasadami i instrumentami zarządzania jakością i wykorzystywania współczesnych technik informacyjno-komunikacyjnych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ZAIAK_K01: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 nowych problemów jakościowych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2026-02-28T11:16:52+01:00</dcterms:created>
  <dcterms:modified xsi:type="dcterms:W3CDTF">2026-02-28T11:16:52+01:00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