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gruntowną wiedzę z zakresu globalizacji rynków, segmentacji, marketingu firm globalnych, globalnych sieci dystrybucyjnych, badań marketingowych na globalnych rynkach, produktach globalnych, eurosegmentach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S2A_U01: </w:t>
      </w:r>
    </w:p>
    <w:p>
      <w:pPr/>
      <w:r>
        <w:rPr/>
        <w:t xml:space="preserve">Posiada umiejętność zaprojektowania badań marketingowych na globalnych rynkach, potrafi rozpoznać strategie marketingowe firm globalnych, przeprowadzić badanie marketingowe typu desk research,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S2A_K01: </w:t>
      </w:r>
    </w:p>
    <w:p>
      <w:pPr/>
      <w:r>
        <w:rPr/>
        <w:t xml:space="preserve">Posiada umiejętność rozpoznawania sygnałów rynkowych, konieczność ciągłego uczenia się, podpatrywania innych uczestników rynku, twórczego rozwijania inicjatyw rynkowych, akceptację nowoczesnych technologii i narzędzi marketingu, otwartość na zmiany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2026-03-23T21:49:05+01:00</dcterms:created>
  <dcterms:modified xsi:type="dcterms:W3CDTF">2026-03-23T21:49:05+01:00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