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rozległą wiedzę na wybrany temat w ramach kierunku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E1_W18, E1_W20, E1_W24, E1_W25, E1_W26, E1_W28, 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T1A_W07, T1A_W04, T1A_W05, T1A_W05, T1A_W05, T1A_W04,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E1_U02, E1_U07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T1A_U06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skorzystać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samodzielnie rozwiązać proste zadanie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T1A_U11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krytycznie ustosunkować się do wyników uzyskanych w trakcie rozwiązywania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samodzielnie przygotować sprawozdanie z pracy oraz w rozmowie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E1_U03, E1_U04, E1_U08,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T1A_U07,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EK2: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EK3: </w:t>
      </w:r>
    </w:p>
    <w:p>
      <w:pPr/>
      <w:r>
        <w:rPr/>
        <w:t xml:space="preserve">Prawidłowo identyfikuje i rozstrzyga dylematy związane z wykonywaniem zawodu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EK4: </w:t>
      </w:r>
    </w:p>
    <w:p>
      <w:pPr/>
      <w:r>
        <w:rPr/>
        <w:t xml:space="preserve">Rozumie potrzebę przekazywania społeczeństwu – m.in. poprzez środki masowego przekazu – informacji o osiągnięciach techniki i innych aspektach działalności inżyniera i potrafi przekazać takie informacje w sposób powszechnie zrozumiały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2025-04-07T10:55:50+02:00</dcterms:created>
  <dcterms:modified xsi:type="dcterms:W3CDTF">2025-04-07T10:55:50+02:00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