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Zna zasady wymiarowania pomp ciepła i dobór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Zna podstawy teoretyczne działania pomp ciepła, rodzaje, własności czynników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EW_4: </w:t>
      </w:r>
    </w:p>
    <w:p>
      <w:pPr/>
      <w:r>
        <w:rPr/>
        <w:t xml:space="preserve">Zna zasady wyznaczania efektywności energetycznej i redukcji emisji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Posiada umiejętność stworzenia koncepcji technicznej systemów grzewczych z pompą ciepła skojarzoną z analizą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Potrafi wymiarować pompy ciepła i dokonywać wyboru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efektywność działania pomp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Potrafi przeprowadzić analizę techniczną i ekonomiczną możliwości współpracy systemów grzewczych mono i biwalentnych z pompą ciepła przy wykorzystaniu innych odnawialnychi i konwencjonalnych urządzeń/ źródeł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EK_1: </w:t>
      </w:r>
    </w:p>
    <w:p>
      <w:pPr/>
      <w:r>
        <w:rPr/>
        <w:t xml:space="preserve">Potrafi prezentować na forum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możliwość kreowania i wdrażania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uzyskanej wiedzy i umiejętności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2026-08-05T22:30:16+02:00</dcterms:created>
  <dcterms:modified xsi:type="dcterms:W3CDTF">2026-08-05T22:30:16+02:00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