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rozległą wiedzę na wybrany temat w ramach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skorzystać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MiBM1_U05, 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samodzielnie rozwiązać proste zadanie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MiBM1_U04, 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Ma zdolność widzenia określonej całości, której częścią jest rozwiązywany problem, i przy formułowaniu zadań inżynierskich potrafi integrować wiedzę z różnych obszarów technicznych i nietechnicznych (w tym – ekonomii, organizacji i zarządzania oraz psychologii i socjologii)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T1A_K01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EK3: </w:t>
      </w:r>
    </w:p>
    <w:p>
      <w:pPr/>
      <w:r>
        <w:rPr/>
        <w:t xml:space="preserve">Potrafi odpowiednio określić priorytety służące realizacji określonego przez siebie i innych zadania, w tym najskuteczniejsze sposoby rozwiązania określonego problemu inżynierskiego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EK4: </w:t>
      </w:r>
    </w:p>
    <w:p>
      <w:pPr/>
      <w:r>
        <w:rPr/>
        <w:t xml:space="preserve">Prawidłowo identyfikuje i rozstrzyga dylematy związane z wykonywaniem zawodu, w tym problemy etyczne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EK5: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2026-04-19T04:05:00+02:00</dcterms:created>
  <dcterms:modified xsi:type="dcterms:W3CDTF">2026-04-19T04:05:00+02:00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