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prof. dr hab. inż. Tadeusz Szopa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NW125</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udział w zajęciach                                                30
- kończenie w domu zadań                                      10
- zapoznanie się ze wskazaną literaturą                    10
- przygotowanie do zajęć , kolokwiów i egzaminu      25
- udział w konsultacjach                                          18
                                                                Razem  93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Konstrukcji Maszyn I,  Mechanika II </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w:t>
      </w:r>
    </w:p>
    <w:p>
      <w:pPr>
        <w:keepNext w:val="1"/>
        <w:spacing w:after="10"/>
      </w:pPr>
      <w:r>
        <w:rPr>
          <w:b/>
          <w:bCs/>
        </w:rPr>
        <w:t xml:space="preserve">Metody oceny: </w:t>
      </w:r>
    </w:p>
    <w:p>
      <w:pPr>
        <w:spacing w:before="20" w:after="190"/>
      </w:pPr>
      <w:r>
        <w:rPr/>
        <w:t xml:space="preserve">Trzy kolokwia organizowane w ciągu semestru, egzamin.
Dyskusje i krótkie sprawdziany dodatkowe (kartkówki) w trakcie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Skoć A., Spałek J.: Podstawy konstrukcji maszyn, t.1. WNT 2006; 
3. Skoć A., Spałek J., Markusik S.: Podstawy konstrukcji maszyn,     t.2. WNT 2008; 
4.Podstawy konstrukcji maszyn - pod red. M.Dietricha, WNT 1999; 
5. Norton R.: Machine Design. An Integrated     Approach. Prentice Hall 2006;
oraz wszystkie inne o podobnej tematyce. 
Dodatkowe literatura: - Materiały dostarczone przez wykładowcę
</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LiK1_W06</w:t>
      </w:r>
    </w:p>
    <w:p>
      <w:pPr>
        <w:spacing w:before="20" w:after="190"/>
      </w:pPr>
      <w:r>
        <w:rPr>
          <w:b/>
          <w:bCs/>
        </w:rPr>
        <w:t xml:space="preserve">Powiązane efekty obszarowe: </w:t>
      </w:r>
      <w:r>
        <w:rPr/>
        <w:t xml:space="preserve">T1A_W01, T1A_W02, T1A_W07</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LiK1_U14</w:t>
      </w:r>
    </w:p>
    <w:p>
      <w:pPr>
        <w:spacing w:before="20" w:after="190"/>
      </w:pPr>
      <w:r>
        <w:rPr>
          <w:b/>
          <w:bCs/>
        </w:rPr>
        <w:t xml:space="preserve">Powiązane efekty obszarowe: </w:t>
      </w:r>
      <w:r>
        <w:rPr/>
        <w:t xml:space="preserve">T1A_U10</w:t>
      </w:r>
    </w:p>
    <w:p>
      <w:pPr>
        <w:keepNext w:val="1"/>
        <w:spacing w:after="10"/>
      </w:pPr>
      <w:r>
        <w:rPr>
          <w:b/>
          <w:bCs/>
        </w:rPr>
        <w:t xml:space="preserve">Efekt EU2: </w:t>
      </w:r>
    </w:p>
    <w:p>
      <w:pPr/>
      <w:r>
        <w:rPr/>
        <w:t xml:space="preserve">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LiK1_U10, LiK1_U14</w:t>
      </w:r>
    </w:p>
    <w:p>
      <w:pPr>
        <w:spacing w:before="20" w:after="190"/>
      </w:pPr>
      <w:r>
        <w:rPr>
          <w:b/>
          <w:bCs/>
        </w:rPr>
        <w:t xml:space="preserve">Powiązane efekty obszarowe: </w:t>
      </w:r>
      <w:r>
        <w:rPr/>
        <w:t xml:space="preserve">T1A_U08, T1A_U09, T1A_U10</w:t>
      </w:r>
    </w:p>
    <w:p>
      <w:pPr>
        <w:keepNext w:val="1"/>
        <w:spacing w:after="10"/>
      </w:pPr>
      <w:r>
        <w:rPr>
          <w:b/>
          <w:bCs/>
        </w:rPr>
        <w:t xml:space="preserve">Efekt EU3: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LiK1_U10, LiK1_U14</w:t>
      </w:r>
    </w:p>
    <w:p>
      <w:pPr>
        <w:spacing w:before="20" w:after="190"/>
      </w:pPr>
      <w:r>
        <w:rPr>
          <w:b/>
          <w:bCs/>
        </w:rPr>
        <w:t xml:space="preserve">Powiązane efekty obszarowe: </w:t>
      </w:r>
      <w:r>
        <w:rPr/>
        <w:t xml:space="preserve">T1A_U08, T1A_U09, T1A_U10</w:t>
      </w:r>
    </w:p>
    <w:p>
      <w:pPr>
        <w:keepNext w:val="1"/>
        <w:spacing w:after="10"/>
      </w:pPr>
      <w:r>
        <w:rPr>
          <w:b/>
          <w:bCs/>
        </w:rPr>
        <w:t xml:space="preserve">Efekt EU4: </w:t>
      </w:r>
    </w:p>
    <w:p>
      <w:pPr/>
      <w:r>
        <w:rPr/>
        <w:t xml:space="preserve">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LiK1_U01, LiK1_U10, LiK1_U12</w:t>
      </w:r>
    </w:p>
    <w:p>
      <w:pPr>
        <w:spacing w:before="20" w:after="190"/>
      </w:pPr>
      <w:r>
        <w:rPr>
          <w:b/>
          <w:bCs/>
        </w:rPr>
        <w:t xml:space="preserve">Powiązane efekty obszarowe: </w:t>
      </w:r>
      <w:r>
        <w:rPr/>
        <w:t xml:space="preserve">T1A_U01, T1A_U08, T1A_U09, T1A_U08, T1A_U09</w:t>
      </w:r>
    </w:p>
    <w:p>
      <w:pPr>
        <w:keepNext w:val="1"/>
        <w:spacing w:after="10"/>
      </w:pPr>
      <w:r>
        <w:rPr>
          <w:b/>
          <w:bCs/>
        </w:rPr>
        <w:t xml:space="preserve">Efekt EU5: </w:t>
      </w:r>
    </w:p>
    <w:p>
      <w:pPr/>
      <w:r>
        <w:rPr/>
        <w:t xml:space="preserve">Potrafi przeprowadzić niezbędne obliczenia inżynierskie mające na celu określenie cech analizowanego lub projektowanego zespołu urządzenia mechanicznego (np. połączenia śrubowego, połączenia dwóch części rurociągu, podparcia wału, sprzęgła)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LiK1_U10, LiK1_U12, LiK1_U14</w:t>
      </w:r>
    </w:p>
    <w:p>
      <w:pPr>
        <w:spacing w:before="20" w:after="190"/>
      </w:pPr>
      <w:r>
        <w:rPr>
          <w:b/>
          <w:bCs/>
        </w:rPr>
        <w:t xml:space="preserve">Powiązane efekty obszarowe: </w:t>
      </w:r>
      <w:r>
        <w:rPr/>
        <w:t xml:space="preserve">T1A_U08, T1A_U09, T1A_U08, T1A_U09, T1A_U10</w:t>
      </w:r>
    </w:p>
    <w:p>
      <w:pPr>
        <w:keepNext w:val="1"/>
        <w:spacing w:after="10"/>
      </w:pPr>
      <w:r>
        <w:rPr>
          <w:b/>
          <w:bCs/>
        </w:rPr>
        <w:t xml:space="preserve">Efekt EU6: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LiK1_U10, LiK1_U12, LiK1_U14</w:t>
      </w:r>
    </w:p>
    <w:p>
      <w:pPr>
        <w:spacing w:before="20" w:after="190"/>
      </w:pPr>
      <w:r>
        <w:rPr>
          <w:b/>
          <w:bCs/>
        </w:rPr>
        <w:t xml:space="preserve">Powiązane efekty obszarowe: </w:t>
      </w:r>
      <w:r>
        <w:rPr/>
        <w:t xml:space="preserve">T1A_U08, T1A_U09, T1A_U08, T1A_U09, T1A_U10</w:t>
      </w:r>
    </w:p>
    <w:p>
      <w:pPr>
        <w:keepNext w:val="1"/>
        <w:spacing w:after="10"/>
      </w:pPr>
      <w:r>
        <w:rPr>
          <w:b/>
          <w:bCs/>
        </w:rPr>
        <w:t xml:space="preserve">Efekt EU7: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LiK1_U01, LiK1_U10, LiK1_U12, LiK1_U14</w:t>
      </w:r>
    </w:p>
    <w:p>
      <w:pPr>
        <w:spacing w:before="20" w:after="190"/>
      </w:pPr>
      <w:r>
        <w:rPr>
          <w:b/>
          <w:bCs/>
        </w:rPr>
        <w:t xml:space="preserve">Powiązane efekty obszarowe: </w:t>
      </w:r>
      <w:r>
        <w:rPr/>
        <w:t xml:space="preserve">T1A_U01, T1A_U08, T1A_U09, T1A_U08, T1A_U09, T1A_U10</w:t>
      </w:r>
    </w:p>
    <w:p>
      <w:pPr>
        <w:keepNext w:val="1"/>
        <w:spacing w:after="10"/>
      </w:pPr>
      <w:r>
        <w:rPr>
          <w:b/>
          <w:bCs/>
        </w:rPr>
        <w:t xml:space="preserve">Efekt EU8: </w:t>
      </w:r>
    </w:p>
    <w:p>
      <w:pPr/>
      <w:r>
        <w:rPr/>
        <w:t xml:space="preserve">Potrafi stosować w praktyce zalecenia norm dotyczące cech geometrycznych typowych elementów oraz ich właściwości fizycznych, w tym – wytrzymałościowych. Potrafi korzystać z katalogów typowych zespołów oraz  materiałów konstrukcyjnych</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LiK1_U01, LiK1_U15</w:t>
      </w:r>
    </w:p>
    <w:p>
      <w:pPr>
        <w:spacing w:before="20" w:after="190"/>
      </w:pPr>
      <w:r>
        <w:rPr>
          <w:b/>
          <w:bCs/>
        </w:rPr>
        <w:t xml:space="preserve">Powiązane efekty obszarowe: </w:t>
      </w:r>
      <w:r>
        <w:rPr/>
        <w:t xml:space="preserve">T1A_U01, 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2026-08-27T04:17:14+02:00</dcterms:created>
  <dcterms:modified xsi:type="dcterms:W3CDTF">2026-08-27T04:17:14+02:00</dcterms:modified>
</cp:coreProperties>
</file>

<file path=docProps/custom.xml><?xml version="1.0" encoding="utf-8"?>
<Properties xmlns="http://schemas.openxmlformats.org/officeDocument/2006/custom-properties" xmlns:vt="http://schemas.openxmlformats.org/officeDocument/2006/docPropsVTypes"/>
</file>