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jakie materiały stosuje się w rozwiązaniach konstrukcyjnych struktur lotniczych i ma wiedzę dotyczącą stymulacji wzajemnej rozwoju lotnictwa i kosmonautyki oraz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kryteriów porównawczych różnych materiałów do budowy lotniczych, w tym wskaźników lekkościowych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wytrzymałościowe różnych materiałów do budowy struktur lotniczych oraz ich zależność od czynników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na temat rodzajów i właściwości kompozytów oraz ich zastosowań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rodzajów węzłów sił skupionych w strukturach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zastosować wskaźniki porównawcze dla różnego rodzaju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inżynierskiego oszacowania stopnia wykorzystania nośności materiałów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wagowe i objętościowe stopnie zbrojenia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wskaźniki ilościowe zbrojenia niezbędne do osiągnięcia wymaganej nośności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prognozować właściwości mechaniczne podstawowych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EU6 - zadania: </w:t>
      </w:r>
    </w:p>
    <w:p>
      <w:pPr/>
      <w:r>
        <w:rPr/>
        <w:t xml:space="preserve">Umie określić parametry podstawowych procesów technologicznych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Jest w stanie ocenić dane materiałowe podawane przez różnych autorów.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2026-08-07T22:36:53+02:00</dcterms:created>
  <dcterms:modified xsi:type="dcterms:W3CDTF">2026-08-07T22:36:53+02:00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