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z drgań lub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na temat drgań układów dyskretnych, liniowych i nieliniowych; parametrycznych i samowzbudnych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na temat drgań układów o parametrach rozłożonych. Zna pojęcia częstości i postaci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podstawową wiedzę na temat drgań konstrukcji lotniczych, prób rezonansowych a także metod obliczeniowych stosowanych w analizie drgań, ze szczególnym uwzględnieniem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ma podstawową wiedzę na temat aerodynamiki nieustalonej, nieustalonych efektów aerodynamicznych oraz podstawowych metod obliczeniowych aerodynamiki ze szczególnym uwzględenieniem metod panelowych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ma podstawową wiedzę na temat zjawisk aeroelastycznych, ze szczególnym uwzględnieniem flatteru. Zna podstawowe metody obliczeniowe aeroelastyczności. Ma też wiedzę na temat prób flatterowych w locie.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ma umiejętność budowy modelu drgań układów mechanicznych na podstawie równań Lagrange'a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ma umiejętność wyznaczania częstości i postaci drgań prostych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ma umiejętność wyznaczania prędkości krytycznych podstawowych zjawisk aeroelastycznych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T1A_K01: </w:t>
      </w:r>
    </w:p>
    <w:p>
      <w:pPr/>
      <w:r>
        <w:rPr/>
        <w:t xml:space="preserve">Student który zaliczył przedmiot będzie Rozumie potrzebę ciągłego dokształcania się -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2026-04-16T07:45:17+02:00</dcterms:created>
  <dcterms:modified xsi:type="dcterms:W3CDTF">2026-04-16T07:45:17+02:00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