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nzw.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kolokwium: 15 godz
przygotowanie raportu: 5 godz
praca w domu (praca własna): 10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(prowadzenie zajęć:15 godz, konsultacje: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dynamika rozwoju i tłumienia wybuchów; wizualizacja i rejestracja procesów spalania; toksyczne własności produktów spalania; dynamika rozwoju i tłumienia wybuchów; metody przeciwpożarowe i przeciwwybuchowe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 Praca własna: np., Zapoznanie się z różnymi projektami pasywnych i aktywnych systemów tłumienia wybuchów gazowych i pyłowych dla różnych instalacji przemysłowych.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 Jarosiński „Techniki Czystego Spalania” WNT 1996; 2. W. Kordylewski „Spalanie i Paliwa” Wydawnictwa Politechniki Wrocławskiej 2001; 3. R. Wilk „Podstawy niskoemisyjnego spalania” Wydawnictwo Gnome, Katowice 2000; 4. A. Kowalewicz „Podstawy Procesów Spalania”, WNT 2000; Rudolf Klemens, 5. A. Teodorczyk „Spalanie” – preskrypt dla studiów zaocznych „Inżynieria Bezpieczeństwa”, Politechnika Warszawska, Wydział MEiL, 2003; 6. D. Ratajczak, R. Klemens „Ochrona przeciwpożarowa i przeciwwybuchowa” – preskrypt dla Studium Podyplomowego „Bezpieczeństwo i Higiena Pracy”, Politechnika Warszawska, Wydział MEiL, 2005 Dodatkowe literatura: - Broszury, instrukcje i opisy stanowisk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EW1-LSn: </w:t>
      </w:r>
    </w:p>
    <w:p>
      <w:pPr/>
      <w:r>
        <w:rPr/>
        <w:t xml:space="preserve">Student zna podstawowe rodzaje płomieni i palników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EW2-LSn: </w:t>
      </w:r>
    </w:p>
    <w:p>
      <w:pPr/>
      <w:r>
        <w:rPr/>
        <w:t xml:space="preserve">Student zna zasady i sposoby prowadzenia badań podstawowych w dziedzinie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EW3-LSn: </w:t>
      </w:r>
    </w:p>
    <w:p>
      <w:pPr/>
      <w:r>
        <w:rPr/>
        <w:t xml:space="preserve">Student zna podstawowe metody obserwacji, pomiarowe i rejestracji procesów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EU1-LSn: </w:t>
      </w:r>
    </w:p>
    <w:p>
      <w:pPr/>
      <w:r>
        <w:rPr/>
        <w:t xml:space="preserve">Student potrafi wyznaczyć normalną prędkość spalania palnej mieszaniny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p>
      <w:pPr>
        <w:keepNext w:val="1"/>
        <w:spacing w:after="10"/>
      </w:pPr>
      <w:r>
        <w:rPr>
          <w:b/>
          <w:bCs/>
        </w:rPr>
        <w:t xml:space="preserve">Efekt EU2-LSn: </w:t>
      </w:r>
    </w:p>
    <w:p>
      <w:pPr/>
      <w:r>
        <w:rPr/>
        <w:t xml:space="preserve">Student potrafi wyznaczyć dolną granicę zdmuchnięcia płomienia za statecznikiem nieopływowym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EU3-LSn: </w:t>
      </w:r>
    </w:p>
    <w:p>
      <w:pPr/>
      <w:r>
        <w:rPr/>
        <w:t xml:space="preserve">Student potrafi przeprowadzić oznaczenie podstawowych parametrów wybuchowych mieszanin pyłowo-powietrznych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EU4-LSn: </w:t>
      </w:r>
    </w:p>
    <w:p>
      <w:pPr/>
      <w:r>
        <w:rPr/>
        <w:t xml:space="preserve">Student potrafi  przeprowadzić oznaczenie minimalnej energii zapłonu mieszaniny pyłowo powietrznej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2026-10-17T07:39:27+02:00</dcterms:created>
  <dcterms:modified xsi:type="dcterms:W3CDTF">2026-10-17T07:39:27+02:00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