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MR</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106: 30 godzin - udział w wykładach i kolokwiach wykładowych, 15 godzin udział w laboratoriach, 15 godzin przygotowania do 5 laboratoriów, 10 godzin przygotowanie sprawozdań z laboratoriów, 2 godziny udział w konsultacjach, 4 godziny - przygotowanie do wykładów, 8  godzin - bieżąca analiza treści wykładów bezpośrednio po wykładach, po 11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(wykłady - 30, laboratoria -15,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(laboratoria - 15 godzin, przygotowania do laboratorium- rozwiązywanie zadań i opracowanie sprawozdań - ok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umiejętnośći w zakresie efektów kształcenia przedmiotów :Podstawy pomiarów (PPOM) i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właściwości nieliniowych i szumowych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TRESC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Pomiary przebiegów. 
Zaawansowane pomiary oscyloskopowe. Szerokopasmowe pomiary intensywności przebiegów. Pomiary częstotliwości. Pomiary selektywne (woltomierze wektorowe, heterodynowe, homodynowe). Pomiary natężenia pola elektromagnetycznego. Metody pomiarowej analizy widma. Analizatory widma. Wektorowe analizatory sygnałów. Możłiwości i ograniczenia 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Generatory sygnałów pomiarowych. 
Podstawowe metody syntezy sygnałów w.cz. Właściwości generatorów sygnałowych. 
Wprowadzenie do pomiarów radiowych urządzeń nadawczych i odbiorczych.
Tendencje rozwojowe. 
LABORATORIA:
Cwiczenie A: Pomiary oscyloskopowe 
- wykorzystanie technik oscyloskopowych do badań złożonych przebiegów okresowych i impulsowych oraz sygnałów I Q stosowanych w modulacjach cyfrowych .
Cwiczenie B: Analizatory widma
- zapoznanie z podstawowymi właściwościami analizatorów FFT i analizatora heterodynowego.
Cwiczenie C: Pomiary selektywne 
- wykorzystanie analizatora widma do badań zmodulowanych sygnałów w.cz, oceny właściwości generatorów sygnałowych i wzmacniaczy w.cz . 
Cwiczenie D: Pomiary wektorowe 
- badania właściwości jedno i wielowrotników z wykorzystaniem woltomierza wektorowego i wektorowego analizatora obwodów.
Cwiczenie E: Pomiary reflektometryczne 
- wykorzystanie metod reflektometrii czasowej i częstotliwościowej do badań właściwości obowodów liniowych.</w:t>
      </w:r>
    </w:p>
    <w:p>
      <w:pPr>
        <w:keepNext w:val="1"/>
        <w:spacing w:after="10"/>
      </w:pPr>
      <w:r>
        <w:rPr>
          <w:b/>
          <w:bCs/>
        </w:rPr>
        <w:t xml:space="preserve">Metody oceny: </w:t>
      </w:r>
    </w:p>
    <w:p>
      <w:pPr>
        <w:spacing w:before="20" w:after="190"/>
      </w:pPr>
      <w:r>
        <w:rPr/>
        <w:t xml:space="preserve">Przedmiot jest oceniany na podstawie sumy punktów uzyskanych:
z dwóch kolokwiów wykładowych (do 20 pkt za każde kolokwium),
w ramach laboratorium (do 8 pkt za każde z pięciu ćwiczeń).
Warunkiem zaliczenia przedmiotu jest: uzyskanie łącznie co najmniej 41 pkt oraz ponad 30% punktów z każdego kolokwium wykładowego.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Cichocki J., Fiok A.J., Kołakowski J., Materiały pomocnicze do przedmiotu Miernictwo radioelektroniczne (slajdy do wykładów i instrukcje do ćwiczeń laboratoryjnych) - oprac. wewn. IR PW (aktualizowane na bieżąco, dostępne na stronie www przedmiotu ,
Literatura uzupełniająca:
Tumański S., Technika pomiarowa, WNT 2007
Dusza J., Gortat G., Leśniewski A., Podstawy miernictwa, Oficyna Wydawnicza PW, 2007 (Wyd.3)
Scott A.W., Frobenius R., RF Measurements for Cellular Phones and Wireless Data, John Wiley &amp; Sons, 2008
Galwas. B., Miernictwo mikrofalowe, WKŁ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pmr.ire.pw.edu.pl/dydaktyka/MR/miernictwo_radioelektroniczne.htm</w:t>
      </w:r>
    </w:p>
    <w:p>
      <w:pPr>
        <w:keepNext w:val="1"/>
        <w:spacing w:after="10"/>
      </w:pPr>
      <w:r>
        <w:rPr>
          <w:b/>
          <w:bCs/>
        </w:rPr>
        <w:t xml:space="preserve">Uwagi: </w:t>
      </w:r>
    </w:p>
    <w:p>
      <w:pPr>
        <w:spacing w:before="20" w:after="190"/>
      </w:pPr>
      <w:r>
        <w:rPr/>
        <w:t xml:space="preserve">realizacja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MR_W1: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T2A_W03, T2A_W04, T2A_W07</w:t>
      </w:r>
    </w:p>
    <w:p>
      <w:pPr>
        <w:keepNext w:val="1"/>
        <w:spacing w:after="10"/>
      </w:pPr>
      <w:r>
        <w:rPr>
          <w:b/>
          <w:bCs/>
        </w:rPr>
        <w:t xml:space="preserve">Efekt MR_W2: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K_W03, K_W04, K_W05, K_W13</w:t>
      </w:r>
    </w:p>
    <w:p>
      <w:pPr>
        <w:spacing w:before="20" w:after="190"/>
      </w:pPr>
      <w:r>
        <w:rPr>
          <w:b/>
          <w:bCs/>
        </w:rPr>
        <w:t xml:space="preserve">Powiązane efekty obszarowe: </w:t>
      </w:r>
      <w:r>
        <w:rPr/>
        <w:t xml:space="preserve">T2A_W02, T2A_W03, T2A_W04, T2A_W07, T2A_W03, T2A_W04, T2A_W05</w:t>
      </w:r>
    </w:p>
    <w:p>
      <w:pPr>
        <w:pStyle w:val="Heading3"/>
      </w:pPr>
      <w:bookmarkStart w:id="3" w:name="_Toc3"/>
      <w:r>
        <w:t>Profil ogólnoakademicki - umiejętności</w:t>
      </w:r>
      <w:bookmarkEnd w:id="3"/>
    </w:p>
    <w:p>
      <w:pPr>
        <w:keepNext w:val="1"/>
        <w:spacing w:after="10"/>
      </w:pPr>
      <w:r>
        <w:rPr>
          <w:b/>
          <w:bCs/>
        </w:rPr>
        <w:t xml:space="preserve">Efekt MR_U1: </w:t>
      </w:r>
    </w:p>
    <w:p>
      <w:pPr/>
      <w:r>
        <w:rPr/>
        <w:t xml:space="preserve">Potrafi ocenić przydatność metod i urządzeń umożliwiającymi pomiar podstawowych wielkości charakteryzujących sygnały i urządzenia wykorzystywane w technikach radiowych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T2A_U07, T2A_U09, T2A_U15</w:t>
      </w:r>
    </w:p>
    <w:p>
      <w:pPr>
        <w:keepNext w:val="1"/>
        <w:spacing w:after="10"/>
      </w:pPr>
      <w:r>
        <w:rPr>
          <w:b/>
          <w:bCs/>
        </w:rPr>
        <w:t xml:space="preserve">Efekt MR_U2: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błedów wynikajacych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K_U05, K_U10</w:t>
      </w:r>
    </w:p>
    <w:p>
      <w:pPr>
        <w:spacing w:before="20" w:after="190"/>
      </w:pPr>
      <w:r>
        <w:rPr>
          <w:b/>
          <w:bCs/>
        </w:rPr>
        <w:t xml:space="preserve">Powiązane efekty obszarowe: </w:t>
      </w:r>
      <w:r>
        <w:rPr/>
        <w:t xml:space="preserve">T2A_U02, T2A_U07, T2A_U07, T2A_U09, T2A_U15</w:t>
      </w:r>
    </w:p>
    <w:p>
      <w:pPr>
        <w:keepNext w:val="1"/>
        <w:spacing w:after="10"/>
      </w:pPr>
      <w:r>
        <w:rPr>
          <w:b/>
          <w:bCs/>
        </w:rPr>
        <w:t xml:space="preserve">Efekt MR_U3: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K_U01, K_U07, K_U10, K_U14</w:t>
      </w:r>
    </w:p>
    <w:p>
      <w:pPr>
        <w:spacing w:before="20" w:after="190"/>
      </w:pPr>
      <w:r>
        <w:rPr>
          <w:b/>
          <w:bCs/>
        </w:rPr>
        <w:t xml:space="preserve">Powiązane efekty obszarowe: </w:t>
      </w:r>
      <w:r>
        <w:rPr/>
        <w:t xml:space="preserve">T2A_U01, T2A_U03, T2A_U04, T2A_U07, T2A_U08, T2A_U09, T2A_U07, T2A_U09, T2A_U15, T2A_U11</w:t>
      </w:r>
    </w:p>
    <w:p>
      <w:pPr>
        <w:pStyle w:val="Heading3"/>
      </w:pPr>
      <w:bookmarkStart w:id="4" w:name="_Toc4"/>
      <w:r>
        <w:t>Profil ogólnoakademicki - kompetencje społeczne</w:t>
      </w:r>
      <w:bookmarkEnd w:id="4"/>
    </w:p>
    <w:p>
      <w:pPr>
        <w:keepNext w:val="1"/>
        <w:spacing w:after="10"/>
      </w:pPr>
      <w:r>
        <w:rPr>
          <w:b/>
          <w:bCs/>
        </w:rPr>
        <w:t xml:space="preserve">Efekt MR_K1: </w:t>
      </w:r>
    </w:p>
    <w:p>
      <w:pPr/>
      <w:r>
        <w:rPr/>
        <w:t xml:space="preserve">Potrafi pracować w grupie, przyjmując w niej różne role; potrafi okreśłić priorytetysłużace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2026-08-22T08:53:45+02:00</dcterms:created>
  <dcterms:modified xsi:type="dcterms:W3CDTF">2026-08-22T08:53:45+02:00</dcterms:modified>
</cp:coreProperties>
</file>

<file path=docProps/custom.xml><?xml version="1.0" encoding="utf-8"?>
<Properties xmlns="http://schemas.openxmlformats.org/officeDocument/2006/custom-properties" xmlns:vt="http://schemas.openxmlformats.org/officeDocument/2006/docPropsVTypes"/>
</file>