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Bader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pierwszego semestru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procesów konwersji energii. Zdobycie podstaw wiedzy niezbędnej do obliczeń związanych z wymianą ciepła i do analizy działania maszyn cieplnych.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Energia wewnętrzna jako sumaryczny efekt ruchu i oddziaływań cząstek. Energia wewnętrzna w gazach doskonałych
i czynnikach rzeczywistych – sposoby obliczania. Praca i ciepło jako sposoby transportu energii pomiędzy układami. Praca
zewnętrzna i użyteczna – obliczanie. Ciepło. Bilans energetyczny układu zamkniętego – I zasada termodynamiki dla tych
układów. Wymiana energii w układach otwartych – bilans energetyczny.
Entropia – wprowadzenie i obliczanie. Entropia jako miara nieodwracalności procesów. Obiegi termodynamiczne
i chłodnicze. Sprawność obiegów silnikowych i współczynnik wydajności chłodniczej. Pompy ciepła. Druga zasada
termodynamiki – różne formuły. Charakterystyczne przemiany nieodwracalne.
Gaz doskonały – własności i prawa gazów doskonałych. Ciepło właściwe gazów doskonałych. Charakterystyczne przemiany:
izochoryczne, izobaryczne, izotermiczne, adiabatyczne, odwracalne. Przemiany politropowe. Mieszaniny gazowe –
właściwości i charakterystyczne parametry. Właściwości par, charakterystyczne przemiany, obiegi parowe. Gazy rzeczywiste
– równania stanu, charakterystyczne równania . Relacje Maxwella. Dławienie gazu rzeczywistego.
Paliwa, parametry charakteryzujące paliwa. Podstawowe składniki paliw, reakcje spalania, zapotrzebowanie powietrza,
objętość spalin, wsp. nadmiaru powietrza. Straty związane z procesem spalania. Własności spalin.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i praca semestralna na temat podany przez wykładowcę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B. Staniszewski "Termodynamika"
S. Wiśniewski "Termodynamika techniczna"
J. Banaszek et al. "Termodynamika. Zadania i przykłady"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T1A_W01: </w:t>
      </w:r>
    </w:p>
    <w:p>
      <w:pPr/>
      <w:r>
        <w:rPr/>
        <w:t xml:space="preserve">Zna i rozumie podstawowe procesy konwersji energii. Zna podstawy działania maszyn cieplnych. Zna podstawy wymiany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samodzielna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M1_W01, 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M1_U05, 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T1A_U05, T1A_U09, T1A_U10, T1A_U14</w:t>
      </w:r>
    </w:p>
    <w:p>
      <w:pPr>
        <w:pStyle w:val="Heading3"/>
      </w:pPr>
      <w:bookmarkStart w:id="7" w:name="_Toc7"/>
      <w:r>
        <w:t>Profil ogólnoakademicki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M1_K01, M1_K03, M1_K06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T1A_K03,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2026-02-11T04:00:12+01:00</dcterms:created>
  <dcterms:modified xsi:type="dcterms:W3CDTF">2026-02-11T04:00:12+01:00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