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wyceny i pośrednictwa</w:t>
      </w:r>
    </w:p>
    <w:p>
      <w:pPr>
        <w:keepNext w:val="1"/>
        <w:spacing w:after="10"/>
      </w:pPr>
      <w:r>
        <w:rPr>
          <w:b/>
          <w:bCs/>
        </w:rPr>
        <w:t xml:space="preserve">Koordynator przedmiotu: </w:t>
      </w:r>
    </w:p>
    <w:p>
      <w:pPr>
        <w:spacing w:before="20" w:after="190"/>
      </w:pPr>
      <w:r>
        <w:rPr/>
        <w:t xml:space="preserve">Prof. dr hab. inż. Mieczysław Prystupa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nieruchomościami i procesami inwestycyjnymi</w:t>
      </w:r>
    </w:p>
    <w:p>
      <w:pPr>
        <w:keepNext w:val="1"/>
        <w:spacing w:after="10"/>
      </w:pPr>
      <w:r>
        <w:rPr>
          <w:b/>
          <w:bCs/>
        </w:rPr>
        <w:t xml:space="preserve">Kod przedmiotu: </w:t>
      </w:r>
    </w:p>
    <w:p>
      <w:pPr>
        <w:spacing w:before="20" w:after="190"/>
      </w:pPr>
      <w:r>
        <w:rPr/>
        <w:t xml:space="preserve">POWYP</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12 godz. -wykłady
+ konsultacje 12 godz.
przygotowanie do zaliczenia 24 gidziny
literatura 12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12 godz. -wykłady
+ konsultacje 12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budownictwa,podstawy prawa w zakresie prawa cywilnego i zobowiązaniowego, inżynieria finansowa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w zakresie wyceny  jest opanowanie podstawowych zagadnień w zakresie wyceny nieruchomości i pośrednictwa. W szczególności celem wykladu jest zapoznanie słuchaczy z zasadami wyceny w podejściu porównawczym, dochodowym, kosztowym i mieszanym.Celem wykładu w zakresie pośrednictwa jest omówienie roli pośrednika i notariusza w obrocie nieruchomościami.</w:t>
      </w:r>
    </w:p>
    <w:p>
      <w:pPr>
        <w:keepNext w:val="1"/>
        <w:spacing w:after="10"/>
      </w:pPr>
      <w:r>
        <w:rPr>
          <w:b/>
          <w:bCs/>
        </w:rPr>
        <w:t xml:space="preserve">Treści kształcenia: </w:t>
      </w:r>
    </w:p>
    <w:p>
      <w:pPr>
        <w:spacing w:before="20" w:after="190"/>
      </w:pPr>
      <w:r>
        <w:rPr/>
        <w:t xml:space="preserve">-W1 – Przedstawienie programu i regulaminu zajęć, rzeczoznawstwo zawodowe jako działalność zawodowa.
W2 –Teoria wartości i ceny w gospodarce nieruchomościami.
W3 – Podejścia, metody i techniki w określaniu wartości nieruchomości. 
W4 – Test 1. Standardy zawodowe rzeczoznawców majątkowych.
W5 – Prawa i obowiązki pośrednika w obrocie nieruchomościami.
W6 – Test 2. Rola notariusza w obrocie nieruchomościami.
</w:t>
      </w:r>
    </w:p>
    <w:p>
      <w:pPr>
        <w:keepNext w:val="1"/>
        <w:spacing w:after="10"/>
      </w:pPr>
      <w:r>
        <w:rPr>
          <w:b/>
          <w:bCs/>
        </w:rPr>
        <w:t xml:space="preserve">Metody oceny: </w:t>
      </w:r>
    </w:p>
    <w:p>
      <w:pPr>
        <w:spacing w:before="20" w:after="190"/>
      </w:pPr>
      <w:r>
        <w:rPr/>
        <w:t xml:space="preserve">-Test pisemny wielokrotnego wyboru sprawdzający znajomość zagadnień omawianych na W1-W3
Test pisemny wielokrotnego wyboru sprawdzający znajomość zagadnień omawianych na W3-W6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Bończak-Kucharczyk E., Zarządzanie nieruchomościami mieszkaniowymi, Wyd. Beck, Warszawa, 2004.
2. Praca zbiorowa-red. Bryx M., , Podstawy zarządzania nieruchomościami, Wyd. Poltext, Warszawa, 2009.
3. Praca zbiorowa, red. Foryś I., Wyd. Poltext, Warszawa, 2008.
4.  Prystupa M., Wycena nieruchomości przy zastosowaniu podejścia porównawczego, Wyd. PFSRM, Warszawa, 2003.
5. Prystupa M., Wycena nieruchomości i przedsiębiorstw przy zastosowaniu podejścia dochodowego, Wyd. ALMAMER, Warszawa, 2008.
6. Praca zbiorowa, Pośrednik w obrocie nieruchomościami, Wyd. Poltext,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wiedzę w zakresie uwarunkowań prawnych umożliwiających sporządzanie operatów szacunkowych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opisać sposób przeprowadzania transakcji kupna-sprzedaży nieruchomości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konieczności ustawicznego kształcenia i podnoszenia swoich kwalifikacji zawodowych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2026-07-14T15:31:13+02:00</dcterms:created>
  <dcterms:modified xsi:type="dcterms:W3CDTF">2026-07-14T15:31:13+02:00</dcterms:modified>
</cp:coreProperties>
</file>

<file path=docProps/custom.xml><?xml version="1.0" encoding="utf-8"?>
<Properties xmlns="http://schemas.openxmlformats.org/officeDocument/2006/custom-properties" xmlns:vt="http://schemas.openxmlformats.org/officeDocument/2006/docPropsVTypes"/>
</file>