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 </w:t>
      </w:r>
    </w:p>
    <w:p>
      <w:pPr>
        <w:keepNext w:val="1"/>
        <w:spacing w:after="10"/>
      </w:pPr>
      <w:r>
        <w:rPr>
          <w:b/>
          <w:bCs/>
        </w:rPr>
        <w:t xml:space="preserve">Koordynator przedmiotu: </w:t>
      </w:r>
    </w:p>
    <w:p>
      <w:pPr>
        <w:spacing w:before="20" w:after="190"/>
      </w:pPr>
      <w:r>
        <w:rPr/>
        <w:t xml:space="preserve">mgr inż. / Wiesława Bańkowska / starszy wykladowca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ZICK08 </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L - Układy rurociągowe i dobór pomp, Filtracja, Proces mieszania, Kolumna rektyfikacyjna wypełniona, Absorpcja stopniowana (układ rozcieńczony), Bezprzeponowe chłodzenie wody powietrzem, Płaszczowo-rurkowy wymiennik ciepła, Wyparka cienkowarstewkowa. </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z projektu zostaną przedstawione przed rozpoczęciem wykonywania projektu. Obowiązkiem studenta jest przekazanie wykonanej pracy każdorazowo po zakończonych zajęciach.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&lt; 51 - 2,0; 51 - 60 - 3,0; 61 - 70 - 3,5; 71 - 80 - 4,0; 81 - 90 - 4,5; 91 - 100 - 5,0.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 1982.
2. Ciborowski J., Podstawy inżynierii chemicznej, WNT, Warszawa 1965.
3. Ziółkowski Z., Destylacja i rektyfikacja w przemyśle chemicznym, WNT, Warszawa 1978.
4. Hobler T., Dyfuzyjny ruch masy i absorbery, WNT, Warszawa 1976.
5. Hobler T., Ruch ciepła i wymienniki, WNT, Warszawa 1979.
6. Kucharski S., Głowiński J., Podstawy obliczeń projektowych w technologii chemicznej, Oficyna Wydawnicza Politechniki Wrocławskiej, Wrocław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2026-08-06T04:59:32+02:00</dcterms:created>
  <dcterms:modified xsi:type="dcterms:W3CDTF">2026-08-06T04:59:32+02:00</dcterms:modified>
</cp:coreProperties>
</file>

<file path=docProps/custom.xml><?xml version="1.0" encoding="utf-8"?>
<Properties xmlns="http://schemas.openxmlformats.org/officeDocument/2006/custom-properties" xmlns:vt="http://schemas.openxmlformats.org/officeDocument/2006/docPropsVTypes"/>
</file>